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205" w:rsidRDefault="001B288C" w:rsidP="00612205">
      <w:pPr>
        <w:spacing w:line="240" w:lineRule="exact"/>
        <w:jc w:val="center"/>
        <w:rPr>
          <w:b/>
          <w:sz w:val="22"/>
          <w:szCs w:val="22"/>
        </w:rPr>
      </w:pPr>
      <w:bookmarkStart w:id="0" w:name="_GoBack"/>
      <w:bookmarkEnd w:id="0"/>
      <w:r>
        <w:rPr>
          <w:b/>
          <w:sz w:val="22"/>
          <w:szCs w:val="22"/>
        </w:rPr>
        <w:t xml:space="preserve">IECA Form of </w:t>
      </w:r>
      <w:r w:rsidR="001114FD">
        <w:rPr>
          <w:b/>
          <w:sz w:val="22"/>
          <w:szCs w:val="22"/>
        </w:rPr>
        <w:t>Section 15.[13] to NAESB GTCs</w:t>
      </w:r>
      <w:r w:rsidR="00197444">
        <w:rPr>
          <w:b/>
          <w:sz w:val="22"/>
          <w:szCs w:val="22"/>
        </w:rPr>
        <w:t>:</w:t>
      </w:r>
    </w:p>
    <w:p w:rsidR="00612205" w:rsidRDefault="001B288C" w:rsidP="00612205">
      <w:pPr>
        <w:spacing w:line="240" w:lineRule="exact"/>
        <w:jc w:val="center"/>
        <w:rPr>
          <w:b/>
          <w:sz w:val="22"/>
          <w:szCs w:val="22"/>
        </w:rPr>
      </w:pPr>
      <w:r w:rsidRPr="00756618">
        <w:rPr>
          <w:b/>
          <w:sz w:val="22"/>
          <w:szCs w:val="22"/>
        </w:rPr>
        <w:t>U.S</w:t>
      </w:r>
      <w:r w:rsidR="00E2768E">
        <w:rPr>
          <w:b/>
          <w:sz w:val="22"/>
          <w:szCs w:val="22"/>
        </w:rPr>
        <w:t>.</w:t>
      </w:r>
      <w:r w:rsidRPr="00756618">
        <w:rPr>
          <w:b/>
          <w:sz w:val="22"/>
          <w:szCs w:val="22"/>
        </w:rPr>
        <w:t xml:space="preserve"> QFC </w:t>
      </w:r>
      <w:r w:rsidR="001114FD">
        <w:rPr>
          <w:b/>
          <w:sz w:val="22"/>
          <w:szCs w:val="22"/>
        </w:rPr>
        <w:t>Stay Rule Compliance</w:t>
      </w:r>
      <w:r w:rsidR="00197444">
        <w:rPr>
          <w:b/>
          <w:sz w:val="22"/>
          <w:szCs w:val="22"/>
        </w:rPr>
        <w:t xml:space="preserve"> Provisions</w:t>
      </w:r>
    </w:p>
    <w:p w:rsidR="00660CCA" w:rsidRDefault="00660CCA" w:rsidP="00660CCA">
      <w:pPr>
        <w:spacing w:line="240" w:lineRule="exact"/>
        <w:rPr>
          <w:sz w:val="22"/>
          <w:szCs w:val="22"/>
        </w:rPr>
      </w:pPr>
    </w:p>
    <w:p w:rsidR="00660CCA" w:rsidRDefault="001B288C" w:rsidP="00660CCA">
      <w:pPr>
        <w:spacing w:line="240" w:lineRule="exact"/>
        <w:rPr>
          <w:sz w:val="22"/>
          <w:szCs w:val="22"/>
        </w:rPr>
      </w:pPr>
      <w:r>
        <w:rPr>
          <w:sz w:val="22"/>
          <w:szCs w:val="22"/>
        </w:rPr>
        <w:t>TH</w:t>
      </w:r>
      <w:r w:rsidR="00CA7FBE">
        <w:rPr>
          <w:sz w:val="22"/>
          <w:szCs w:val="22"/>
        </w:rPr>
        <w:t>E FOLLOWING</w:t>
      </w:r>
      <w:r>
        <w:rPr>
          <w:sz w:val="22"/>
          <w:szCs w:val="22"/>
        </w:rPr>
        <w:t xml:space="preserve"> TEXT MAY BE INCLUDED IN THE “SPECIAL PROVISIONS” TO A NEW QFC THAT IS A NAESB BASE CONTRACT. </w:t>
      </w:r>
    </w:p>
    <w:p w:rsidR="00660CCA" w:rsidRDefault="00660CCA" w:rsidP="00660CCA">
      <w:pPr>
        <w:spacing w:line="240" w:lineRule="exact"/>
        <w:rPr>
          <w:sz w:val="22"/>
          <w:szCs w:val="22"/>
        </w:rPr>
      </w:pPr>
    </w:p>
    <w:p w:rsidR="00612205" w:rsidRPr="004A687A" w:rsidRDefault="001B288C" w:rsidP="00612205">
      <w:pPr>
        <w:spacing w:after="240" w:line="264" w:lineRule="auto"/>
        <w:rPr>
          <w:rFonts w:eastAsia="Calibri"/>
          <w:b/>
          <w:bCs/>
          <w:sz w:val="22"/>
          <w:szCs w:val="22"/>
          <w:lang w:bidi="he-IL"/>
        </w:rPr>
      </w:pPr>
      <w:r>
        <w:rPr>
          <w:rFonts w:eastAsia="Calibri"/>
          <w:b/>
          <w:bCs/>
          <w:sz w:val="22"/>
          <w:szCs w:val="22"/>
          <w:lang w:bidi="he-IL"/>
        </w:rPr>
        <w:t xml:space="preserve">15.[13]  </w:t>
      </w:r>
      <w:r w:rsidRPr="004A687A">
        <w:rPr>
          <w:rFonts w:eastAsia="Calibri"/>
          <w:b/>
          <w:bCs/>
          <w:sz w:val="22"/>
          <w:szCs w:val="22"/>
          <w:lang w:bidi="he-IL"/>
        </w:rPr>
        <w:t xml:space="preserve">U.S. </w:t>
      </w:r>
      <w:r w:rsidR="009A1BFF">
        <w:rPr>
          <w:rFonts w:eastAsia="Calibri"/>
          <w:b/>
          <w:bCs/>
          <w:sz w:val="22"/>
          <w:szCs w:val="22"/>
          <w:lang w:bidi="he-IL"/>
        </w:rPr>
        <w:t>QFC Stay Rule Compliance</w:t>
      </w:r>
      <w:r w:rsidRPr="004A687A">
        <w:rPr>
          <w:rFonts w:eastAsia="Calibri"/>
          <w:b/>
          <w:bCs/>
          <w:sz w:val="22"/>
          <w:szCs w:val="22"/>
          <w:lang w:bidi="he-IL"/>
        </w:rPr>
        <w:t xml:space="preserve"> Provisions.</w:t>
      </w:r>
    </w:p>
    <w:p w:rsidR="00612205" w:rsidRPr="00EF3C04" w:rsidRDefault="001B288C" w:rsidP="00CB7B45">
      <w:pPr>
        <w:spacing w:after="240" w:line="264" w:lineRule="auto"/>
        <w:rPr>
          <w:rFonts w:eastAsia="Calibri"/>
          <w:sz w:val="22"/>
          <w:szCs w:val="22"/>
          <w:lang w:bidi="he-IL"/>
        </w:rPr>
      </w:pPr>
      <w:r>
        <w:rPr>
          <w:rFonts w:eastAsia="Calibri"/>
          <w:sz w:val="22"/>
          <w:szCs w:val="22"/>
          <w:lang w:bidi="he-IL"/>
        </w:rPr>
        <w:t>15.[13].1</w:t>
      </w:r>
      <w:r w:rsidRPr="004A687A">
        <w:rPr>
          <w:rFonts w:eastAsia="Calibri"/>
          <w:sz w:val="22"/>
          <w:szCs w:val="22"/>
          <w:lang w:bidi="he-IL"/>
        </w:rPr>
        <w:tab/>
      </w:r>
      <w:r w:rsidRPr="004A687A">
        <w:rPr>
          <w:rFonts w:eastAsia="Calibri"/>
          <w:sz w:val="22"/>
          <w:szCs w:val="22"/>
          <w:u w:val="single"/>
          <w:lang w:bidi="he-IL"/>
        </w:rPr>
        <w:t>Recognition of the U.S. Special Resolution Regimes</w:t>
      </w:r>
      <w:r w:rsidR="00EF3C04">
        <w:rPr>
          <w:rFonts w:eastAsia="Calibri"/>
          <w:sz w:val="22"/>
          <w:szCs w:val="22"/>
          <w:u w:val="single"/>
          <w:lang w:bidi="he-IL"/>
        </w:rPr>
        <w:t>.</w:t>
      </w:r>
      <w:r>
        <w:rPr>
          <w:rStyle w:val="FootnoteReference"/>
          <w:rFonts w:eastAsia="Calibri"/>
          <w:sz w:val="22"/>
          <w:szCs w:val="22"/>
          <w:u w:val="single"/>
          <w:lang w:bidi="he-IL"/>
        </w:rPr>
        <w:footnoteReference w:id="1"/>
      </w:r>
    </w:p>
    <w:p w:rsidR="00612205" w:rsidRPr="004A687A" w:rsidRDefault="001B288C" w:rsidP="00CB7B45">
      <w:pPr>
        <w:spacing w:after="240" w:line="264" w:lineRule="auto"/>
        <w:ind w:left="1440" w:hanging="720"/>
        <w:jc w:val="both"/>
        <w:rPr>
          <w:rFonts w:eastAsia="Calibri"/>
          <w:sz w:val="22"/>
          <w:szCs w:val="22"/>
          <w:lang w:bidi="he-IL"/>
        </w:rPr>
      </w:pPr>
      <w:r w:rsidRPr="004A687A">
        <w:rPr>
          <w:rFonts w:eastAsia="Calibri"/>
          <w:sz w:val="22"/>
          <w:szCs w:val="22"/>
          <w:lang w:bidi="he-IL"/>
        </w:rPr>
        <w:t>(a)</w:t>
      </w:r>
      <w:r w:rsidRPr="004A687A">
        <w:rPr>
          <w:rFonts w:eastAsia="Calibri"/>
          <w:sz w:val="22"/>
          <w:szCs w:val="22"/>
          <w:lang w:bidi="he-IL"/>
        </w:rPr>
        <w:tab/>
        <w:t xml:space="preserve">In the event that </w:t>
      </w:r>
      <w:r w:rsidR="00250075">
        <w:rPr>
          <w:rFonts w:eastAsia="Calibri"/>
          <w:sz w:val="22"/>
          <w:szCs w:val="22"/>
          <w:lang w:bidi="he-IL"/>
        </w:rPr>
        <w:t>Party A, as the Covered Entity,</w:t>
      </w:r>
      <w:r>
        <w:rPr>
          <w:rFonts w:eastAsia="Calibri"/>
          <w:sz w:val="22"/>
          <w:szCs w:val="22"/>
          <w:lang w:bidi="he-IL"/>
        </w:rPr>
        <w:t xml:space="preserve"> </w:t>
      </w:r>
      <w:r w:rsidRPr="004A687A">
        <w:rPr>
          <w:rFonts w:eastAsia="Calibri"/>
          <w:sz w:val="22"/>
          <w:szCs w:val="22"/>
          <w:lang w:bidi="he-IL"/>
        </w:rPr>
        <w:t xml:space="preserve">becomes subject to a proceeding under </w:t>
      </w:r>
      <w:r w:rsidR="00736D02">
        <w:rPr>
          <w:rFonts w:eastAsia="Calibri"/>
          <w:sz w:val="22"/>
          <w:szCs w:val="22"/>
          <w:lang w:bidi="he-IL"/>
        </w:rPr>
        <w:t>a U.S. Special Resolution Regime</w:t>
      </w:r>
      <w:r w:rsidR="00E9752F">
        <w:rPr>
          <w:rFonts w:eastAsia="Calibri"/>
          <w:sz w:val="22"/>
          <w:szCs w:val="22"/>
          <w:lang w:bidi="he-IL"/>
        </w:rPr>
        <w:t>,</w:t>
      </w:r>
      <w:r w:rsidRPr="004A687A">
        <w:rPr>
          <w:rFonts w:eastAsia="Calibri"/>
          <w:sz w:val="22"/>
          <w:szCs w:val="22"/>
          <w:lang w:bidi="he-IL"/>
        </w:rPr>
        <w:t xml:space="preserve"> the transfer from </w:t>
      </w:r>
      <w:r w:rsidR="00250075">
        <w:rPr>
          <w:rFonts w:eastAsia="Calibri"/>
          <w:sz w:val="22"/>
          <w:szCs w:val="22"/>
          <w:lang w:bidi="he-IL"/>
        </w:rPr>
        <w:t>Party A</w:t>
      </w:r>
      <w:r>
        <w:rPr>
          <w:rFonts w:eastAsia="Calibri"/>
          <w:sz w:val="22"/>
          <w:szCs w:val="22"/>
          <w:lang w:bidi="he-IL"/>
        </w:rPr>
        <w:t xml:space="preserve"> </w:t>
      </w:r>
      <w:r w:rsidRPr="004A687A">
        <w:rPr>
          <w:rFonts w:eastAsia="Calibri"/>
          <w:sz w:val="22"/>
          <w:szCs w:val="22"/>
          <w:lang w:bidi="he-IL"/>
        </w:rPr>
        <w:t xml:space="preserve">of this </w:t>
      </w:r>
      <w:r w:rsidR="001A1ED5">
        <w:rPr>
          <w:rFonts w:eastAsia="Calibri"/>
          <w:sz w:val="22"/>
          <w:szCs w:val="22"/>
          <w:lang w:bidi="he-IL"/>
        </w:rPr>
        <w:t>Contract</w:t>
      </w:r>
      <w:r w:rsidRPr="004A687A">
        <w:rPr>
          <w:rFonts w:eastAsia="Calibri"/>
          <w:sz w:val="22"/>
          <w:szCs w:val="22"/>
          <w:lang w:bidi="he-IL"/>
        </w:rPr>
        <w:t>,</w:t>
      </w:r>
      <w:r w:rsidRPr="004A687A">
        <w:rPr>
          <w:rFonts w:eastAsia="Calibri"/>
          <w:sz w:val="22"/>
          <w:szCs w:val="22"/>
          <w:vertAlign w:val="superscript"/>
          <w:lang w:bidi="he-IL"/>
        </w:rPr>
        <w:t xml:space="preserve"> </w:t>
      </w:r>
      <w:r w:rsidR="008279C8">
        <w:rPr>
          <w:rFonts w:eastAsia="Calibri"/>
          <w:sz w:val="22"/>
          <w:szCs w:val="22"/>
          <w:lang w:bidi="he-IL"/>
        </w:rPr>
        <w:t xml:space="preserve">as a Covered Direct QFC, </w:t>
      </w:r>
      <w:r w:rsidRPr="004A687A">
        <w:rPr>
          <w:rFonts w:eastAsia="Calibri"/>
          <w:sz w:val="22"/>
          <w:szCs w:val="22"/>
          <w:lang w:bidi="he-IL"/>
        </w:rPr>
        <w:t xml:space="preserve">and any interest and obligation in or under, and any </w:t>
      </w:r>
      <w:r w:rsidR="001A1ED5">
        <w:rPr>
          <w:rFonts w:eastAsia="Calibri"/>
          <w:sz w:val="22"/>
          <w:szCs w:val="22"/>
          <w:lang w:bidi="he-IL"/>
        </w:rPr>
        <w:t>property securing, this Contrac</w:t>
      </w:r>
      <w:r w:rsidRPr="004A687A">
        <w:rPr>
          <w:rFonts w:eastAsia="Calibri"/>
          <w:sz w:val="22"/>
          <w:szCs w:val="22"/>
          <w:lang w:bidi="he-IL"/>
        </w:rPr>
        <w:t xml:space="preserve">t, will be effective to the same extent as the transfer would be effective under the U.S. Special Resolution Regime if this </w:t>
      </w:r>
      <w:r w:rsidR="001A1ED5">
        <w:rPr>
          <w:rFonts w:eastAsia="Calibri"/>
          <w:sz w:val="22"/>
          <w:szCs w:val="22"/>
          <w:lang w:bidi="he-IL"/>
        </w:rPr>
        <w:t>Contract</w:t>
      </w:r>
      <w:r w:rsidRPr="004A687A">
        <w:rPr>
          <w:rFonts w:eastAsia="Calibri"/>
          <w:sz w:val="22"/>
          <w:szCs w:val="22"/>
          <w:lang w:bidi="he-IL"/>
        </w:rPr>
        <w:t xml:space="preserve">, and any interest and obligation in or </w:t>
      </w:r>
      <w:r w:rsidRPr="004A687A">
        <w:rPr>
          <w:rFonts w:eastAsia="Calibri"/>
          <w:sz w:val="22"/>
          <w:szCs w:val="22"/>
          <w:lang w:bidi="he-IL"/>
        </w:rPr>
        <w:t xml:space="preserve">under, and any </w:t>
      </w:r>
      <w:r w:rsidR="001A1ED5">
        <w:rPr>
          <w:rFonts w:eastAsia="Calibri"/>
          <w:sz w:val="22"/>
          <w:szCs w:val="22"/>
          <w:lang w:bidi="he-IL"/>
        </w:rPr>
        <w:t>property securing, this Contrac</w:t>
      </w:r>
      <w:r w:rsidRPr="004A687A">
        <w:rPr>
          <w:rFonts w:eastAsia="Calibri"/>
          <w:sz w:val="22"/>
          <w:szCs w:val="22"/>
          <w:lang w:bidi="he-IL"/>
        </w:rPr>
        <w:t>t were governed by the laws of the United States or a state of the United States.</w:t>
      </w:r>
    </w:p>
    <w:p w:rsidR="00612205" w:rsidRPr="004A687A" w:rsidRDefault="001B288C" w:rsidP="00CB7B45">
      <w:pPr>
        <w:spacing w:after="240" w:line="264" w:lineRule="auto"/>
        <w:ind w:left="1440" w:hanging="720"/>
        <w:jc w:val="both"/>
        <w:rPr>
          <w:rFonts w:eastAsia="Calibri"/>
          <w:sz w:val="22"/>
          <w:szCs w:val="22"/>
          <w:lang w:bidi="he-IL"/>
        </w:rPr>
      </w:pPr>
      <w:r w:rsidRPr="004A687A">
        <w:rPr>
          <w:rFonts w:eastAsia="Calibri"/>
          <w:sz w:val="22"/>
          <w:szCs w:val="22"/>
          <w:lang w:bidi="he-IL"/>
        </w:rPr>
        <w:t>(b)</w:t>
      </w:r>
      <w:r w:rsidRPr="004A687A">
        <w:rPr>
          <w:rFonts w:eastAsia="Calibri"/>
          <w:sz w:val="22"/>
          <w:szCs w:val="22"/>
          <w:lang w:bidi="he-IL"/>
        </w:rPr>
        <w:tab/>
        <w:t xml:space="preserve">In the event that </w:t>
      </w:r>
      <w:r w:rsidR="00250075">
        <w:rPr>
          <w:rFonts w:eastAsia="Calibri"/>
          <w:sz w:val="22"/>
          <w:szCs w:val="22"/>
          <w:lang w:bidi="he-IL"/>
        </w:rPr>
        <w:t>Party A</w:t>
      </w:r>
      <w:r>
        <w:rPr>
          <w:rFonts w:eastAsia="Calibri"/>
          <w:sz w:val="22"/>
          <w:szCs w:val="22"/>
          <w:lang w:bidi="he-IL"/>
        </w:rPr>
        <w:t xml:space="preserve"> </w:t>
      </w:r>
      <w:r w:rsidR="00C72E3B">
        <w:rPr>
          <w:rFonts w:eastAsia="Calibri"/>
          <w:sz w:val="22"/>
          <w:szCs w:val="22"/>
          <w:lang w:bidi="he-IL"/>
        </w:rPr>
        <w:t>or a BHCA</w:t>
      </w:r>
      <w:r w:rsidRPr="004A687A">
        <w:rPr>
          <w:rFonts w:eastAsia="Calibri"/>
          <w:sz w:val="22"/>
          <w:szCs w:val="22"/>
          <w:lang w:bidi="he-IL"/>
        </w:rPr>
        <w:t xml:space="preserve"> Affiliate </w:t>
      </w:r>
      <w:r w:rsidR="000334BF">
        <w:rPr>
          <w:rFonts w:eastAsia="Calibri"/>
          <w:sz w:val="22"/>
          <w:szCs w:val="22"/>
          <w:lang w:bidi="he-IL"/>
        </w:rPr>
        <w:t xml:space="preserve">of Party A </w:t>
      </w:r>
      <w:r w:rsidRPr="004A687A">
        <w:rPr>
          <w:rFonts w:eastAsia="Calibri"/>
          <w:sz w:val="22"/>
          <w:szCs w:val="22"/>
          <w:lang w:bidi="he-IL"/>
        </w:rPr>
        <w:t>becomes subject to a proceeding under a U.S. Special Resolution Reg</w:t>
      </w:r>
      <w:r w:rsidRPr="004A687A">
        <w:rPr>
          <w:rFonts w:eastAsia="Calibri"/>
          <w:sz w:val="22"/>
          <w:szCs w:val="22"/>
          <w:lang w:bidi="he-IL"/>
        </w:rPr>
        <w:t xml:space="preserve">ime, any Default Rights under this </w:t>
      </w:r>
      <w:r w:rsidR="001A1ED5">
        <w:rPr>
          <w:rFonts w:eastAsia="Calibri"/>
          <w:sz w:val="22"/>
          <w:szCs w:val="22"/>
          <w:lang w:bidi="he-IL"/>
        </w:rPr>
        <w:t>Contract</w:t>
      </w:r>
      <w:r w:rsidRPr="004A687A">
        <w:rPr>
          <w:rFonts w:eastAsia="Calibri"/>
          <w:sz w:val="22"/>
          <w:szCs w:val="22"/>
          <w:lang w:bidi="he-IL"/>
        </w:rPr>
        <w:t xml:space="preserve"> that may be exercised against </w:t>
      </w:r>
      <w:r w:rsidR="00250075">
        <w:rPr>
          <w:rFonts w:eastAsia="Calibri"/>
          <w:sz w:val="22"/>
          <w:szCs w:val="22"/>
          <w:lang w:bidi="he-IL"/>
        </w:rPr>
        <w:t>Party A</w:t>
      </w:r>
      <w:r>
        <w:rPr>
          <w:rFonts w:eastAsia="Calibri"/>
          <w:sz w:val="22"/>
          <w:szCs w:val="22"/>
          <w:lang w:bidi="he-IL"/>
        </w:rPr>
        <w:t xml:space="preserve"> </w:t>
      </w:r>
      <w:r w:rsidRPr="004A687A">
        <w:rPr>
          <w:rFonts w:eastAsia="Calibri"/>
          <w:sz w:val="22"/>
          <w:szCs w:val="22"/>
          <w:lang w:bidi="he-IL"/>
        </w:rPr>
        <w:t xml:space="preserve">are permitted to be exercised to no greater extent than such </w:t>
      </w:r>
      <w:r w:rsidRPr="004A687A">
        <w:rPr>
          <w:rFonts w:eastAsia="Calibri"/>
          <w:sz w:val="22"/>
          <w:szCs w:val="22"/>
          <w:lang w:bidi="he-IL"/>
        </w:rPr>
        <w:lastRenderedPageBreak/>
        <w:t xml:space="preserve">Default Rights could be exercised under the U.S. Special Resolution Regime if this </w:t>
      </w:r>
      <w:r w:rsidR="001A1ED5">
        <w:rPr>
          <w:rFonts w:eastAsia="Calibri"/>
          <w:sz w:val="22"/>
          <w:szCs w:val="22"/>
          <w:lang w:bidi="he-IL"/>
        </w:rPr>
        <w:t>Contract</w:t>
      </w:r>
      <w:r w:rsidRPr="004A687A">
        <w:rPr>
          <w:rFonts w:eastAsia="Calibri"/>
          <w:sz w:val="22"/>
          <w:szCs w:val="22"/>
          <w:lang w:bidi="he-IL"/>
        </w:rPr>
        <w:t xml:space="preserve"> were governed by the laws of the United States or a state of the United States.</w:t>
      </w:r>
    </w:p>
    <w:p w:rsidR="00612205" w:rsidRPr="00E2768E" w:rsidRDefault="001B288C" w:rsidP="00E2768E">
      <w:pPr>
        <w:spacing w:after="240" w:line="264" w:lineRule="auto"/>
        <w:jc w:val="both"/>
        <w:rPr>
          <w:rFonts w:eastAsia="Calibri"/>
          <w:sz w:val="22"/>
          <w:szCs w:val="22"/>
          <w:u w:val="single"/>
          <w:lang w:bidi="he-IL"/>
        </w:rPr>
      </w:pPr>
      <w:r>
        <w:rPr>
          <w:rFonts w:eastAsia="Calibri"/>
          <w:sz w:val="22"/>
          <w:szCs w:val="22"/>
          <w:lang w:bidi="he-IL"/>
        </w:rPr>
        <w:t>15.[13].2</w:t>
      </w:r>
      <w:r w:rsidRPr="004A687A">
        <w:rPr>
          <w:rFonts w:eastAsia="Calibri"/>
          <w:sz w:val="22"/>
          <w:szCs w:val="22"/>
          <w:lang w:bidi="he-IL"/>
        </w:rPr>
        <w:tab/>
      </w:r>
      <w:r w:rsidRPr="004A687A">
        <w:rPr>
          <w:rFonts w:eastAsia="Calibri"/>
          <w:sz w:val="22"/>
          <w:szCs w:val="22"/>
          <w:u w:val="single"/>
          <w:lang w:bidi="he-IL"/>
        </w:rPr>
        <w:t>Limitation on Exercise of Cert</w:t>
      </w:r>
      <w:r w:rsidR="000334BF">
        <w:rPr>
          <w:rFonts w:eastAsia="Calibri"/>
          <w:sz w:val="22"/>
          <w:szCs w:val="22"/>
          <w:u w:val="single"/>
          <w:lang w:bidi="he-IL"/>
        </w:rPr>
        <w:t>ain Default Rights Related to a</w:t>
      </w:r>
      <w:r w:rsidRPr="004A687A">
        <w:rPr>
          <w:rFonts w:eastAsia="Calibri"/>
          <w:sz w:val="22"/>
          <w:szCs w:val="22"/>
          <w:u w:val="single"/>
          <w:lang w:bidi="he-IL"/>
        </w:rPr>
        <w:t xml:space="preserve"> </w:t>
      </w:r>
      <w:r w:rsidR="000334BF">
        <w:rPr>
          <w:rFonts w:eastAsia="Calibri"/>
          <w:sz w:val="22"/>
          <w:szCs w:val="22"/>
          <w:u w:val="single"/>
          <w:lang w:bidi="he-IL"/>
        </w:rPr>
        <w:t xml:space="preserve">BHCA </w:t>
      </w:r>
      <w:r w:rsidRPr="004A687A">
        <w:rPr>
          <w:rFonts w:eastAsia="Calibri"/>
          <w:sz w:val="22"/>
          <w:szCs w:val="22"/>
          <w:u w:val="single"/>
          <w:lang w:bidi="he-IL"/>
        </w:rPr>
        <w:t>Affiliate’s Entry Into Insolvency Proceedings.</w:t>
      </w:r>
      <w:r w:rsidR="00E2768E">
        <w:rPr>
          <w:rFonts w:eastAsia="Calibri"/>
          <w:sz w:val="22"/>
          <w:szCs w:val="22"/>
          <w:lang w:bidi="he-IL"/>
        </w:rPr>
        <w:t xml:space="preserve">  N</w:t>
      </w:r>
      <w:r w:rsidRPr="004A687A">
        <w:rPr>
          <w:rFonts w:eastAsia="Calibri"/>
          <w:sz w:val="22"/>
          <w:szCs w:val="22"/>
          <w:lang w:bidi="he-IL"/>
        </w:rPr>
        <w:t xml:space="preserve">otwithstanding anything to the contrary in this </w:t>
      </w:r>
      <w:r>
        <w:rPr>
          <w:rFonts w:eastAsia="Calibri"/>
          <w:sz w:val="22"/>
          <w:szCs w:val="22"/>
          <w:lang w:bidi="he-IL"/>
        </w:rPr>
        <w:t>C</w:t>
      </w:r>
      <w:r>
        <w:rPr>
          <w:rFonts w:eastAsia="Calibri"/>
          <w:sz w:val="22"/>
          <w:szCs w:val="22"/>
          <w:lang w:bidi="he-IL"/>
        </w:rPr>
        <w:t>ontract</w:t>
      </w:r>
      <w:r w:rsidRPr="004A687A">
        <w:rPr>
          <w:rFonts w:eastAsia="Calibri"/>
          <w:sz w:val="22"/>
          <w:szCs w:val="22"/>
          <w:lang w:bidi="he-IL"/>
        </w:rPr>
        <w:t>, the parties expressly acknowledge and agree that:</w:t>
      </w:r>
    </w:p>
    <w:p w:rsidR="00612205" w:rsidRPr="004A687A" w:rsidRDefault="001B288C" w:rsidP="00E2768E">
      <w:pPr>
        <w:widowControl w:val="0"/>
        <w:spacing w:after="120" w:line="264" w:lineRule="auto"/>
        <w:ind w:left="1440" w:hanging="720"/>
        <w:jc w:val="both"/>
        <w:outlineLvl w:val="2"/>
        <w:rPr>
          <w:kern w:val="20"/>
          <w:sz w:val="22"/>
          <w:szCs w:val="22"/>
          <w:lang w:val="en-GB"/>
        </w:rPr>
      </w:pPr>
      <w:r w:rsidRPr="004A687A">
        <w:rPr>
          <w:kern w:val="20"/>
          <w:sz w:val="22"/>
          <w:szCs w:val="22"/>
          <w:lang w:val="en-GB"/>
        </w:rPr>
        <w:t xml:space="preserve">(a) </w:t>
      </w:r>
      <w:r w:rsidRPr="004A687A">
        <w:rPr>
          <w:kern w:val="20"/>
          <w:sz w:val="22"/>
          <w:szCs w:val="22"/>
          <w:lang w:val="en-GB"/>
        </w:rPr>
        <w:tab/>
      </w:r>
      <w:r w:rsidR="00981BDB">
        <w:rPr>
          <w:kern w:val="20"/>
          <w:sz w:val="22"/>
          <w:szCs w:val="22"/>
          <w:lang w:val="en-GB"/>
        </w:rPr>
        <w:t xml:space="preserve">Party B, as the </w:t>
      </w:r>
      <w:r w:rsidRPr="00C627F1">
        <w:rPr>
          <w:kern w:val="20"/>
          <w:sz w:val="22"/>
          <w:szCs w:val="22"/>
          <w:lang w:val="en-GB"/>
        </w:rPr>
        <w:t>Counterparty</w:t>
      </w:r>
      <w:r w:rsidR="00981BDB">
        <w:rPr>
          <w:kern w:val="20"/>
          <w:sz w:val="22"/>
          <w:szCs w:val="22"/>
          <w:lang w:val="en-GB"/>
        </w:rPr>
        <w:t xml:space="preserve"> Entity,</w:t>
      </w:r>
      <w:r w:rsidRPr="004A687A">
        <w:rPr>
          <w:kern w:val="20"/>
          <w:sz w:val="22"/>
          <w:szCs w:val="22"/>
          <w:lang w:val="en-GB"/>
        </w:rPr>
        <w:t xml:space="preserve"> shall not be permitted to exercise any Default Right with respect to this </w:t>
      </w:r>
      <w:r w:rsidR="001A1ED5">
        <w:rPr>
          <w:kern w:val="20"/>
          <w:sz w:val="22"/>
          <w:szCs w:val="22"/>
          <w:lang w:val="en-GB"/>
        </w:rPr>
        <w:t>Contract</w:t>
      </w:r>
      <w:r w:rsidRPr="004A687A">
        <w:rPr>
          <w:kern w:val="20"/>
          <w:sz w:val="22"/>
          <w:szCs w:val="22"/>
          <w:lang w:val="en-GB"/>
        </w:rPr>
        <w:t xml:space="preserve"> or any </w:t>
      </w:r>
      <w:r w:rsidR="003F38DA">
        <w:rPr>
          <w:kern w:val="20"/>
          <w:sz w:val="22"/>
          <w:szCs w:val="22"/>
          <w:lang w:val="en-GB"/>
        </w:rPr>
        <w:t xml:space="preserve">Covered </w:t>
      </w:r>
      <w:r w:rsidRPr="004A687A">
        <w:rPr>
          <w:kern w:val="20"/>
          <w:sz w:val="22"/>
          <w:szCs w:val="22"/>
          <w:lang w:val="en-GB"/>
        </w:rPr>
        <w:t>Affiliate Credit Enhancement that is related, directly or</w:t>
      </w:r>
      <w:r w:rsidRPr="004A687A">
        <w:rPr>
          <w:kern w:val="20"/>
          <w:sz w:val="22"/>
          <w:szCs w:val="22"/>
          <w:lang w:val="en-GB"/>
        </w:rPr>
        <w:t xml:space="preserve"> ind</w:t>
      </w:r>
      <w:r w:rsidR="00FC1D59">
        <w:rPr>
          <w:kern w:val="20"/>
          <w:sz w:val="22"/>
          <w:szCs w:val="22"/>
          <w:lang w:val="en-GB"/>
        </w:rPr>
        <w:t>irectly, to a</w:t>
      </w:r>
      <w:r w:rsidR="00E9752F">
        <w:rPr>
          <w:kern w:val="20"/>
          <w:sz w:val="22"/>
          <w:szCs w:val="22"/>
          <w:lang w:val="en-GB"/>
        </w:rPr>
        <w:t xml:space="preserve"> </w:t>
      </w:r>
      <w:r w:rsidR="00FC1D59">
        <w:rPr>
          <w:kern w:val="20"/>
          <w:sz w:val="22"/>
          <w:szCs w:val="22"/>
          <w:lang w:val="en-GB"/>
        </w:rPr>
        <w:t xml:space="preserve">BHCA </w:t>
      </w:r>
      <w:r w:rsidR="00E9752F">
        <w:rPr>
          <w:kern w:val="20"/>
          <w:sz w:val="22"/>
          <w:szCs w:val="22"/>
          <w:lang w:val="en-GB"/>
        </w:rPr>
        <w:t xml:space="preserve">Affiliate of </w:t>
      </w:r>
      <w:r w:rsidR="00250075">
        <w:rPr>
          <w:kern w:val="20"/>
          <w:sz w:val="22"/>
          <w:szCs w:val="22"/>
          <w:lang w:val="en-GB"/>
        </w:rPr>
        <w:t>Part</w:t>
      </w:r>
      <w:r w:rsidR="000A6416">
        <w:rPr>
          <w:kern w:val="20"/>
          <w:sz w:val="22"/>
          <w:szCs w:val="22"/>
          <w:lang w:val="en-GB"/>
        </w:rPr>
        <w:t>y</w:t>
      </w:r>
      <w:r w:rsidR="00250075">
        <w:rPr>
          <w:kern w:val="20"/>
          <w:sz w:val="22"/>
          <w:szCs w:val="22"/>
          <w:lang w:val="en-GB"/>
        </w:rPr>
        <w:t xml:space="preserve"> A, as the Covered Entity,</w:t>
      </w:r>
      <w:r>
        <w:rPr>
          <w:kern w:val="20"/>
          <w:sz w:val="22"/>
          <w:szCs w:val="22"/>
          <w:lang w:val="en-GB"/>
        </w:rPr>
        <w:t xml:space="preserve"> </w:t>
      </w:r>
      <w:r w:rsidRPr="004A687A">
        <w:rPr>
          <w:kern w:val="20"/>
          <w:sz w:val="22"/>
          <w:szCs w:val="22"/>
          <w:lang w:val="en-GB"/>
        </w:rPr>
        <w:t>becoming subject to</w:t>
      </w:r>
      <w:r w:rsidR="003736BE">
        <w:rPr>
          <w:kern w:val="20"/>
          <w:sz w:val="22"/>
          <w:szCs w:val="22"/>
          <w:lang w:val="en-GB"/>
        </w:rPr>
        <w:t xml:space="preserve"> an Insolvency Proceeding</w:t>
      </w:r>
      <w:r w:rsidRPr="004A687A">
        <w:rPr>
          <w:kern w:val="20"/>
          <w:sz w:val="22"/>
          <w:szCs w:val="22"/>
          <w:lang w:val="en-GB"/>
        </w:rPr>
        <w:t>, except to the extent that the exercise of such Default Right would be pe</w:t>
      </w:r>
      <w:r w:rsidR="006A5F72">
        <w:rPr>
          <w:kern w:val="20"/>
          <w:sz w:val="22"/>
          <w:szCs w:val="22"/>
          <w:lang w:val="en-GB"/>
        </w:rPr>
        <w:t xml:space="preserve">rmitted under </w:t>
      </w:r>
      <w:r w:rsidR="00DB40B1" w:rsidRPr="00DB40B1">
        <w:rPr>
          <w:kern w:val="20"/>
          <w:sz w:val="22"/>
          <w:szCs w:val="22"/>
          <w:lang w:val="en-GB"/>
        </w:rPr>
        <w:t xml:space="preserve">the Creditor Protection Provisions of the QFC Stay Rules as acknowledged and agreed </w:t>
      </w:r>
      <w:r w:rsidR="006A5F72">
        <w:rPr>
          <w:kern w:val="20"/>
          <w:sz w:val="22"/>
          <w:szCs w:val="22"/>
          <w:lang w:val="en-GB"/>
        </w:rPr>
        <w:t xml:space="preserve">by both parties </w:t>
      </w:r>
      <w:r w:rsidR="00DB40B1" w:rsidRPr="00DB40B1">
        <w:rPr>
          <w:kern w:val="20"/>
          <w:sz w:val="22"/>
          <w:szCs w:val="22"/>
          <w:lang w:val="en-GB"/>
        </w:rPr>
        <w:t xml:space="preserve">in </w:t>
      </w:r>
      <w:r w:rsidR="00DB40B1">
        <w:rPr>
          <w:kern w:val="20"/>
          <w:sz w:val="22"/>
          <w:szCs w:val="22"/>
          <w:lang w:val="en-GB"/>
        </w:rPr>
        <w:t>Section 15.[13].4</w:t>
      </w:r>
      <w:r w:rsidRPr="004A687A">
        <w:rPr>
          <w:kern w:val="20"/>
          <w:sz w:val="22"/>
          <w:szCs w:val="22"/>
          <w:lang w:val="en-GB"/>
        </w:rPr>
        <w:t>; and</w:t>
      </w:r>
    </w:p>
    <w:p w:rsidR="005016A9" w:rsidRDefault="001B288C" w:rsidP="00E2768E">
      <w:pPr>
        <w:widowControl w:val="0"/>
        <w:spacing w:after="120" w:line="264" w:lineRule="auto"/>
        <w:ind w:left="1440" w:hanging="720"/>
        <w:jc w:val="both"/>
        <w:outlineLvl w:val="2"/>
        <w:rPr>
          <w:kern w:val="20"/>
          <w:sz w:val="22"/>
          <w:szCs w:val="22"/>
          <w:lang w:val="en-GB"/>
        </w:rPr>
      </w:pPr>
      <w:r w:rsidRPr="004A687A">
        <w:rPr>
          <w:kern w:val="20"/>
          <w:sz w:val="22"/>
          <w:szCs w:val="22"/>
          <w:lang w:val="en-GB"/>
        </w:rPr>
        <w:t xml:space="preserve">(b) </w:t>
      </w:r>
      <w:r w:rsidRPr="004A687A">
        <w:rPr>
          <w:kern w:val="20"/>
          <w:sz w:val="22"/>
          <w:szCs w:val="22"/>
          <w:lang w:val="en-GB"/>
        </w:rPr>
        <w:tab/>
        <w:t xml:space="preserve">Nothing in this </w:t>
      </w:r>
      <w:r w:rsidR="001A1ED5">
        <w:rPr>
          <w:kern w:val="20"/>
          <w:sz w:val="22"/>
          <w:szCs w:val="22"/>
          <w:lang w:val="en-GB"/>
        </w:rPr>
        <w:t>Contract</w:t>
      </w:r>
      <w:r w:rsidRPr="004A687A">
        <w:rPr>
          <w:kern w:val="20"/>
          <w:sz w:val="22"/>
          <w:szCs w:val="22"/>
          <w:lang w:val="en-GB"/>
        </w:rPr>
        <w:t xml:space="preserve"> shall prohibit the transfer of any </w:t>
      </w:r>
      <w:r w:rsidR="0092021E">
        <w:rPr>
          <w:kern w:val="20"/>
          <w:sz w:val="22"/>
          <w:szCs w:val="22"/>
          <w:lang w:val="en-GB"/>
        </w:rPr>
        <w:t xml:space="preserve">Covered </w:t>
      </w:r>
      <w:r w:rsidRPr="004A687A">
        <w:rPr>
          <w:kern w:val="20"/>
          <w:sz w:val="22"/>
          <w:szCs w:val="22"/>
          <w:lang w:val="en-GB"/>
        </w:rPr>
        <w:t xml:space="preserve">Affiliate Credit Enhancement, any interest or obligation </w:t>
      </w:r>
      <w:r w:rsidRPr="004A687A">
        <w:rPr>
          <w:kern w:val="20"/>
          <w:sz w:val="22"/>
          <w:szCs w:val="22"/>
          <w:lang w:val="en-GB"/>
        </w:rPr>
        <w:t xml:space="preserve">in or under such </w:t>
      </w:r>
      <w:r w:rsidR="0092021E">
        <w:rPr>
          <w:kern w:val="20"/>
          <w:sz w:val="22"/>
          <w:szCs w:val="22"/>
          <w:lang w:val="en-GB"/>
        </w:rPr>
        <w:t xml:space="preserve">Covered </w:t>
      </w:r>
      <w:r w:rsidRPr="004A687A">
        <w:rPr>
          <w:kern w:val="20"/>
          <w:sz w:val="22"/>
          <w:szCs w:val="22"/>
          <w:lang w:val="en-GB"/>
        </w:rPr>
        <w:t xml:space="preserve">Affiliate Credit Enhancement, or any property securing such </w:t>
      </w:r>
      <w:r w:rsidR="0092021E">
        <w:rPr>
          <w:kern w:val="20"/>
          <w:sz w:val="22"/>
          <w:szCs w:val="22"/>
          <w:lang w:val="en-GB"/>
        </w:rPr>
        <w:t xml:space="preserve">Covered </w:t>
      </w:r>
      <w:r w:rsidRPr="004A687A">
        <w:rPr>
          <w:kern w:val="20"/>
          <w:sz w:val="22"/>
          <w:szCs w:val="22"/>
          <w:lang w:val="en-GB"/>
        </w:rPr>
        <w:t>Affi</w:t>
      </w:r>
      <w:r w:rsidR="003E293E">
        <w:rPr>
          <w:kern w:val="20"/>
          <w:sz w:val="22"/>
          <w:szCs w:val="22"/>
          <w:lang w:val="en-GB"/>
        </w:rPr>
        <w:t>liate Credit Enhancement, to a T</w:t>
      </w:r>
      <w:r w:rsidR="00FC1D59">
        <w:rPr>
          <w:kern w:val="20"/>
          <w:sz w:val="22"/>
          <w:szCs w:val="22"/>
          <w:lang w:val="en-GB"/>
        </w:rPr>
        <w:t>ransferee upon or following a BHCA</w:t>
      </w:r>
      <w:r w:rsidRPr="004A687A">
        <w:rPr>
          <w:kern w:val="20"/>
          <w:sz w:val="22"/>
          <w:szCs w:val="22"/>
          <w:lang w:val="en-GB"/>
        </w:rPr>
        <w:t xml:space="preserve"> Affiliate of </w:t>
      </w:r>
      <w:r w:rsidR="00250075">
        <w:rPr>
          <w:kern w:val="20"/>
          <w:sz w:val="22"/>
          <w:szCs w:val="22"/>
          <w:lang w:val="en-GB"/>
        </w:rPr>
        <w:t>Party A</w:t>
      </w:r>
      <w:r>
        <w:rPr>
          <w:kern w:val="20"/>
          <w:sz w:val="22"/>
          <w:szCs w:val="22"/>
          <w:lang w:val="en-GB"/>
        </w:rPr>
        <w:t xml:space="preserve"> </w:t>
      </w:r>
      <w:r w:rsidRPr="004A687A">
        <w:rPr>
          <w:kern w:val="20"/>
          <w:sz w:val="22"/>
          <w:szCs w:val="22"/>
          <w:lang w:val="en-GB"/>
        </w:rPr>
        <w:t>becoming subject to an Insolvency Proceeding, unless th</w:t>
      </w:r>
      <w:r w:rsidRPr="00C627F1">
        <w:rPr>
          <w:kern w:val="20"/>
          <w:sz w:val="22"/>
          <w:szCs w:val="22"/>
          <w:lang w:val="en-GB"/>
        </w:rPr>
        <w:t>e tran</w:t>
      </w:r>
      <w:r w:rsidR="00124042">
        <w:rPr>
          <w:kern w:val="20"/>
          <w:sz w:val="22"/>
          <w:szCs w:val="22"/>
          <w:lang w:val="en-GB"/>
        </w:rPr>
        <w:t xml:space="preserve">sfer would result in </w:t>
      </w:r>
      <w:r w:rsidR="00250075">
        <w:rPr>
          <w:kern w:val="20"/>
          <w:sz w:val="22"/>
          <w:szCs w:val="22"/>
          <w:lang w:val="en-GB"/>
        </w:rPr>
        <w:t xml:space="preserve">Party B, as </w:t>
      </w:r>
      <w:r w:rsidR="00124042">
        <w:rPr>
          <w:kern w:val="20"/>
          <w:sz w:val="22"/>
          <w:szCs w:val="22"/>
          <w:lang w:val="en-GB"/>
        </w:rPr>
        <w:t xml:space="preserve">the </w:t>
      </w:r>
      <w:r w:rsidR="00981BDB">
        <w:rPr>
          <w:kern w:val="20"/>
          <w:sz w:val="22"/>
          <w:szCs w:val="22"/>
          <w:lang w:val="en-GB"/>
        </w:rPr>
        <w:t>Counterparty Entity</w:t>
      </w:r>
      <w:r w:rsidR="00250075">
        <w:rPr>
          <w:kern w:val="20"/>
          <w:sz w:val="22"/>
          <w:szCs w:val="22"/>
          <w:lang w:val="en-GB"/>
        </w:rPr>
        <w:t>,</w:t>
      </w:r>
      <w:r w:rsidR="00124042">
        <w:rPr>
          <w:kern w:val="20"/>
          <w:sz w:val="22"/>
          <w:szCs w:val="22"/>
          <w:lang w:val="en-GB"/>
        </w:rPr>
        <w:t xml:space="preserve"> b</w:t>
      </w:r>
      <w:r w:rsidRPr="004A687A">
        <w:rPr>
          <w:kern w:val="20"/>
          <w:sz w:val="22"/>
          <w:szCs w:val="22"/>
          <w:lang w:val="en-GB"/>
        </w:rPr>
        <w:t xml:space="preserve">eing the beneficiary of such </w:t>
      </w:r>
      <w:r w:rsidR="0092021E">
        <w:rPr>
          <w:kern w:val="20"/>
          <w:sz w:val="22"/>
          <w:szCs w:val="22"/>
          <w:lang w:val="en-GB"/>
        </w:rPr>
        <w:t xml:space="preserve">Covered </w:t>
      </w:r>
      <w:r w:rsidRPr="004A687A">
        <w:rPr>
          <w:kern w:val="20"/>
          <w:sz w:val="22"/>
          <w:szCs w:val="22"/>
          <w:lang w:val="en-GB"/>
        </w:rPr>
        <w:t>Affiliate Credit Enhancement in violatio</w:t>
      </w:r>
      <w:r w:rsidRPr="00C627F1">
        <w:rPr>
          <w:kern w:val="20"/>
          <w:sz w:val="22"/>
          <w:szCs w:val="22"/>
          <w:lang w:val="en-GB"/>
        </w:rPr>
        <w:t xml:space="preserve">n of any law applicable to the </w:t>
      </w:r>
      <w:r w:rsidR="00981BDB">
        <w:rPr>
          <w:kern w:val="20"/>
          <w:sz w:val="22"/>
          <w:szCs w:val="22"/>
          <w:lang w:val="en-GB"/>
        </w:rPr>
        <w:t>Counterparty Entity</w:t>
      </w:r>
      <w:r>
        <w:rPr>
          <w:kern w:val="20"/>
          <w:sz w:val="22"/>
          <w:szCs w:val="22"/>
          <w:lang w:val="en-GB"/>
        </w:rPr>
        <w:t>.</w:t>
      </w:r>
    </w:p>
    <w:p w:rsidR="005016A9" w:rsidRPr="005016A9" w:rsidRDefault="001B288C" w:rsidP="005016A9">
      <w:pPr>
        <w:widowControl w:val="0"/>
        <w:spacing w:after="120" w:line="264" w:lineRule="auto"/>
        <w:ind w:left="1440" w:hanging="720"/>
        <w:jc w:val="both"/>
        <w:outlineLvl w:val="2"/>
        <w:rPr>
          <w:bCs/>
          <w:kern w:val="20"/>
          <w:sz w:val="22"/>
          <w:szCs w:val="22"/>
        </w:rPr>
      </w:pPr>
      <w:r w:rsidRPr="005016A9">
        <w:rPr>
          <w:kern w:val="20"/>
          <w:sz w:val="22"/>
          <w:szCs w:val="22"/>
          <w:lang w:val="en-GB"/>
        </w:rPr>
        <w:t>(c)</w:t>
      </w:r>
      <w:r w:rsidRPr="005016A9">
        <w:rPr>
          <w:kern w:val="20"/>
          <w:sz w:val="22"/>
          <w:szCs w:val="22"/>
          <w:lang w:val="en-GB"/>
        </w:rPr>
        <w:tab/>
      </w:r>
      <w:r w:rsidRPr="005016A9">
        <w:rPr>
          <w:bCs/>
          <w:kern w:val="20"/>
          <w:sz w:val="22"/>
          <w:szCs w:val="22"/>
          <w:u w:val="single"/>
        </w:rPr>
        <w:t>Burden of Proof</w:t>
      </w:r>
      <w:r w:rsidRPr="005016A9">
        <w:rPr>
          <w:bCs/>
          <w:kern w:val="20"/>
          <w:sz w:val="22"/>
          <w:szCs w:val="22"/>
        </w:rPr>
        <w:t>. After a BHCA Affiliate of Party A, as the Cover</w:t>
      </w:r>
      <w:r w:rsidRPr="005016A9">
        <w:rPr>
          <w:bCs/>
          <w:kern w:val="20"/>
          <w:sz w:val="22"/>
          <w:szCs w:val="22"/>
        </w:rPr>
        <w:t xml:space="preserve">ed Entity, has become subject to an Insolvency Proceeding, if Party B, as the </w:t>
      </w:r>
      <w:r w:rsidR="00981BDB">
        <w:rPr>
          <w:bCs/>
          <w:kern w:val="20"/>
          <w:sz w:val="22"/>
          <w:szCs w:val="22"/>
        </w:rPr>
        <w:t>Counterparty Entity</w:t>
      </w:r>
      <w:r w:rsidRPr="005016A9">
        <w:rPr>
          <w:bCs/>
          <w:kern w:val="20"/>
          <w:sz w:val="22"/>
          <w:szCs w:val="22"/>
        </w:rPr>
        <w:t xml:space="preserve">, seeks to exercise any Default Right with respect to </w:t>
      </w:r>
      <w:r w:rsidR="00DD015E">
        <w:rPr>
          <w:bCs/>
          <w:kern w:val="20"/>
          <w:sz w:val="22"/>
          <w:szCs w:val="22"/>
        </w:rPr>
        <w:t>this Contract</w:t>
      </w:r>
      <w:r w:rsidR="000410D4">
        <w:rPr>
          <w:bCs/>
          <w:kern w:val="20"/>
          <w:sz w:val="22"/>
          <w:szCs w:val="22"/>
        </w:rPr>
        <w:t xml:space="preserve"> </w:t>
      </w:r>
      <w:r w:rsidR="000410D4" w:rsidRPr="000410D4">
        <w:rPr>
          <w:bCs/>
          <w:kern w:val="20"/>
          <w:sz w:val="22"/>
          <w:szCs w:val="22"/>
          <w:lang w:val="en-GB"/>
        </w:rPr>
        <w:t xml:space="preserve">or any </w:t>
      </w:r>
      <w:r w:rsidR="005030EC">
        <w:rPr>
          <w:bCs/>
          <w:kern w:val="20"/>
          <w:sz w:val="22"/>
          <w:szCs w:val="22"/>
          <w:lang w:val="en-GB"/>
        </w:rPr>
        <w:t xml:space="preserve">Covered </w:t>
      </w:r>
      <w:r w:rsidR="000410D4" w:rsidRPr="000410D4">
        <w:rPr>
          <w:bCs/>
          <w:kern w:val="20"/>
          <w:sz w:val="22"/>
          <w:szCs w:val="22"/>
          <w:lang w:val="en-GB"/>
        </w:rPr>
        <w:t>Affiliate Credit Enhancement</w:t>
      </w:r>
      <w:r w:rsidRPr="005016A9">
        <w:rPr>
          <w:bCs/>
          <w:kern w:val="20"/>
          <w:sz w:val="22"/>
          <w:szCs w:val="22"/>
        </w:rPr>
        <w:t xml:space="preserve">, the </w:t>
      </w:r>
      <w:r w:rsidR="00981BDB">
        <w:rPr>
          <w:bCs/>
          <w:kern w:val="20"/>
          <w:sz w:val="22"/>
          <w:szCs w:val="22"/>
        </w:rPr>
        <w:t>Counterparty Entity</w:t>
      </w:r>
      <w:r w:rsidRPr="005016A9">
        <w:rPr>
          <w:bCs/>
          <w:kern w:val="20"/>
          <w:sz w:val="22"/>
          <w:szCs w:val="22"/>
        </w:rPr>
        <w:t xml:space="preserve"> shall have the burden of proof, by clear and convincing evidence, that the exercise of such Default Right is permitted under th</w:t>
      </w:r>
      <w:r w:rsidR="00DD015E">
        <w:rPr>
          <w:bCs/>
          <w:kern w:val="20"/>
          <w:sz w:val="22"/>
          <w:szCs w:val="22"/>
        </w:rPr>
        <w:t>is Contract</w:t>
      </w:r>
      <w:r w:rsidR="000410D4" w:rsidRPr="000410D4">
        <w:rPr>
          <w:kern w:val="20"/>
          <w:sz w:val="22"/>
          <w:szCs w:val="22"/>
          <w:lang w:val="en-GB"/>
        </w:rPr>
        <w:t xml:space="preserve"> </w:t>
      </w:r>
      <w:r w:rsidR="000410D4" w:rsidRPr="000410D4">
        <w:rPr>
          <w:bCs/>
          <w:kern w:val="20"/>
          <w:sz w:val="22"/>
          <w:szCs w:val="22"/>
          <w:lang w:val="en-GB"/>
        </w:rPr>
        <w:t xml:space="preserve">or </w:t>
      </w:r>
      <w:r w:rsidR="000410D4">
        <w:rPr>
          <w:bCs/>
          <w:kern w:val="20"/>
          <w:sz w:val="22"/>
          <w:szCs w:val="22"/>
          <w:lang w:val="en-GB"/>
        </w:rPr>
        <w:t>such</w:t>
      </w:r>
      <w:r w:rsidR="000410D4" w:rsidRPr="000410D4">
        <w:rPr>
          <w:bCs/>
          <w:kern w:val="20"/>
          <w:sz w:val="22"/>
          <w:szCs w:val="22"/>
          <w:lang w:val="en-GB"/>
        </w:rPr>
        <w:t xml:space="preserve"> </w:t>
      </w:r>
      <w:r w:rsidR="005030EC">
        <w:rPr>
          <w:bCs/>
          <w:kern w:val="20"/>
          <w:sz w:val="22"/>
          <w:szCs w:val="22"/>
          <w:lang w:val="en-GB"/>
        </w:rPr>
        <w:t xml:space="preserve">Covered </w:t>
      </w:r>
      <w:r w:rsidR="000410D4" w:rsidRPr="000410D4">
        <w:rPr>
          <w:bCs/>
          <w:kern w:val="20"/>
          <w:sz w:val="22"/>
          <w:szCs w:val="22"/>
          <w:lang w:val="en-GB"/>
        </w:rPr>
        <w:t>Affiliate Credit Enhancement</w:t>
      </w:r>
      <w:r w:rsidRPr="005016A9">
        <w:rPr>
          <w:bCs/>
          <w:kern w:val="20"/>
          <w:sz w:val="22"/>
          <w:szCs w:val="22"/>
        </w:rPr>
        <w:t>.</w:t>
      </w:r>
      <w:r>
        <w:rPr>
          <w:bCs/>
          <w:kern w:val="20"/>
          <w:sz w:val="22"/>
          <w:szCs w:val="22"/>
          <w:vertAlign w:val="superscript"/>
        </w:rPr>
        <w:footnoteReference w:id="2"/>
      </w:r>
    </w:p>
    <w:p w:rsidR="00612205" w:rsidRDefault="001B288C" w:rsidP="00E2768E">
      <w:pPr>
        <w:spacing w:after="240" w:line="264" w:lineRule="auto"/>
        <w:jc w:val="both"/>
        <w:rPr>
          <w:kern w:val="20"/>
          <w:sz w:val="22"/>
          <w:szCs w:val="22"/>
          <w:lang w:val="en-GB"/>
        </w:rPr>
      </w:pPr>
      <w:r>
        <w:rPr>
          <w:rFonts w:eastAsia="Calibri"/>
          <w:sz w:val="22"/>
          <w:szCs w:val="22"/>
          <w:lang w:bidi="he-IL"/>
        </w:rPr>
        <w:t>15.[13].</w:t>
      </w:r>
      <w:r w:rsidRPr="004A687A">
        <w:rPr>
          <w:rFonts w:eastAsia="Calibri"/>
          <w:sz w:val="22"/>
          <w:szCs w:val="22"/>
          <w:lang w:bidi="he-IL"/>
        </w:rPr>
        <w:t>3</w:t>
      </w:r>
      <w:r w:rsidRPr="004A687A">
        <w:rPr>
          <w:rFonts w:eastAsia="Calibri"/>
          <w:sz w:val="22"/>
          <w:szCs w:val="22"/>
          <w:lang w:bidi="he-IL"/>
        </w:rPr>
        <w:tab/>
      </w:r>
      <w:r w:rsidRPr="004A687A">
        <w:rPr>
          <w:rFonts w:eastAsia="Calibri"/>
          <w:sz w:val="22"/>
          <w:szCs w:val="22"/>
          <w:u w:val="single"/>
          <w:lang w:bidi="he-IL"/>
        </w:rPr>
        <w:t>U.S. Protocol</w:t>
      </w:r>
      <w:r w:rsidR="00F556B3">
        <w:rPr>
          <w:rFonts w:eastAsia="Calibri"/>
          <w:sz w:val="22"/>
          <w:szCs w:val="22"/>
          <w:u w:val="single"/>
          <w:lang w:bidi="he-IL"/>
        </w:rPr>
        <w:t>.</w:t>
      </w:r>
      <w:r w:rsidR="00E2768E">
        <w:rPr>
          <w:kern w:val="20"/>
          <w:sz w:val="22"/>
          <w:szCs w:val="22"/>
          <w:lang w:val="en-GB"/>
        </w:rPr>
        <w:t xml:space="preserve">  I</w:t>
      </w:r>
      <w:r w:rsidRPr="00C627F1">
        <w:rPr>
          <w:kern w:val="20"/>
          <w:sz w:val="22"/>
          <w:szCs w:val="22"/>
          <w:lang w:val="en-GB"/>
        </w:rPr>
        <w:t xml:space="preserve">f </w:t>
      </w:r>
      <w:r w:rsidR="00250075">
        <w:rPr>
          <w:kern w:val="20"/>
          <w:sz w:val="22"/>
          <w:szCs w:val="22"/>
          <w:lang w:val="en-GB"/>
        </w:rPr>
        <w:t xml:space="preserve">Party B, as the </w:t>
      </w:r>
      <w:r w:rsidR="00981BDB">
        <w:rPr>
          <w:kern w:val="20"/>
          <w:sz w:val="22"/>
          <w:szCs w:val="22"/>
          <w:lang w:val="en-GB"/>
        </w:rPr>
        <w:t>Counterparty Entity</w:t>
      </w:r>
      <w:r w:rsidR="00250075">
        <w:rPr>
          <w:kern w:val="20"/>
          <w:sz w:val="22"/>
          <w:szCs w:val="22"/>
          <w:lang w:val="en-GB"/>
        </w:rPr>
        <w:t>,</w:t>
      </w:r>
      <w:r w:rsidR="00177639">
        <w:rPr>
          <w:kern w:val="20"/>
          <w:sz w:val="22"/>
          <w:szCs w:val="22"/>
          <w:lang w:val="en-GB"/>
        </w:rPr>
        <w:t xml:space="preserve"> a</w:t>
      </w:r>
      <w:r w:rsidRPr="004A687A">
        <w:rPr>
          <w:kern w:val="20"/>
          <w:sz w:val="22"/>
          <w:szCs w:val="22"/>
          <w:lang w:val="en-GB"/>
        </w:rPr>
        <w:t>dheres to the</w:t>
      </w:r>
      <w:r w:rsidR="003736BE">
        <w:rPr>
          <w:kern w:val="20"/>
          <w:sz w:val="22"/>
          <w:szCs w:val="22"/>
          <w:lang w:val="en-GB"/>
        </w:rPr>
        <w:t xml:space="preserve"> ISDA U.S. Protocol</w:t>
      </w:r>
      <w:r w:rsidRPr="004A687A">
        <w:rPr>
          <w:rFonts w:eastAsia="Calibri"/>
          <w:sz w:val="22"/>
          <w:szCs w:val="22"/>
          <w:lang w:bidi="he-IL"/>
        </w:rPr>
        <w:t xml:space="preserve"> </w:t>
      </w:r>
      <w:r w:rsidRPr="004A687A">
        <w:rPr>
          <w:kern w:val="20"/>
          <w:sz w:val="22"/>
          <w:szCs w:val="22"/>
          <w:lang w:val="en-GB"/>
        </w:rPr>
        <w:t xml:space="preserve">after the date of this </w:t>
      </w:r>
      <w:r>
        <w:rPr>
          <w:kern w:val="20"/>
          <w:sz w:val="22"/>
          <w:szCs w:val="22"/>
          <w:lang w:val="en-GB"/>
        </w:rPr>
        <w:t>Contract</w:t>
      </w:r>
      <w:r w:rsidRPr="004A687A">
        <w:rPr>
          <w:kern w:val="20"/>
          <w:sz w:val="22"/>
          <w:szCs w:val="22"/>
          <w:lang w:val="en-GB"/>
        </w:rPr>
        <w:t>,</w:t>
      </w:r>
      <w:r w:rsidRPr="004A687A">
        <w:rPr>
          <w:kern w:val="20"/>
          <w:sz w:val="22"/>
          <w:szCs w:val="22"/>
          <w:vertAlign w:val="superscript"/>
          <w:lang w:val="en-GB"/>
        </w:rPr>
        <w:t xml:space="preserve"> </w:t>
      </w:r>
      <w:r w:rsidRPr="004A687A">
        <w:rPr>
          <w:kern w:val="20"/>
          <w:sz w:val="22"/>
          <w:szCs w:val="22"/>
          <w:lang w:val="en-GB"/>
        </w:rPr>
        <w:t>the terms of the ISDA U.S. Protocol will supersede</w:t>
      </w:r>
      <w:r w:rsidRPr="00C627F1">
        <w:rPr>
          <w:kern w:val="20"/>
          <w:sz w:val="22"/>
          <w:szCs w:val="22"/>
          <w:lang w:val="en-GB"/>
        </w:rPr>
        <w:t xml:space="preserve"> and replace the terms of this </w:t>
      </w:r>
      <w:r w:rsidR="003736BE">
        <w:rPr>
          <w:kern w:val="20"/>
          <w:sz w:val="22"/>
          <w:szCs w:val="22"/>
          <w:lang w:val="en-GB"/>
        </w:rPr>
        <w:t>Section 15.[13</w:t>
      </w:r>
      <w:r w:rsidR="00250075">
        <w:rPr>
          <w:kern w:val="20"/>
          <w:sz w:val="22"/>
          <w:szCs w:val="22"/>
          <w:lang w:val="en-GB"/>
        </w:rPr>
        <w:t>]</w:t>
      </w:r>
      <w:r w:rsidR="00441107">
        <w:rPr>
          <w:kern w:val="20"/>
          <w:sz w:val="22"/>
          <w:szCs w:val="22"/>
          <w:lang w:val="en-GB"/>
        </w:rPr>
        <w:t xml:space="preserve">; </w:t>
      </w:r>
      <w:r w:rsidR="00441107" w:rsidRPr="00441107">
        <w:rPr>
          <w:bCs/>
          <w:kern w:val="20"/>
          <w:sz w:val="22"/>
          <w:szCs w:val="22"/>
        </w:rPr>
        <w:t>provided, however, that the “Creditor Protection Provisions” Events of Default in Section 15.[13].4 of this Contract shall remain fully in effect and binding on the parties to this Contract</w:t>
      </w:r>
      <w:r w:rsidRPr="004A687A">
        <w:rPr>
          <w:kern w:val="20"/>
          <w:sz w:val="22"/>
          <w:szCs w:val="22"/>
          <w:lang w:val="en-GB"/>
        </w:rPr>
        <w:t>.</w:t>
      </w:r>
    </w:p>
    <w:p w:rsidR="003718E4" w:rsidRPr="003718E4" w:rsidRDefault="001B288C" w:rsidP="003718E4">
      <w:pPr>
        <w:spacing w:after="240" w:line="264" w:lineRule="auto"/>
        <w:jc w:val="both"/>
        <w:rPr>
          <w:rFonts w:eastAsia="Calibri"/>
          <w:sz w:val="22"/>
          <w:szCs w:val="22"/>
          <w:lang w:bidi="he-IL"/>
        </w:rPr>
      </w:pPr>
      <w:r w:rsidRPr="003718E4">
        <w:rPr>
          <w:rFonts w:eastAsia="Calibri"/>
          <w:sz w:val="22"/>
          <w:szCs w:val="22"/>
          <w:lang w:bidi="he-IL"/>
        </w:rPr>
        <w:t xml:space="preserve">[ALTERNATE PROVISIONS FOR </w:t>
      </w:r>
      <w:r>
        <w:rPr>
          <w:rFonts w:eastAsia="Calibri"/>
          <w:sz w:val="22"/>
          <w:szCs w:val="22"/>
          <w:lang w:bidi="he-IL"/>
        </w:rPr>
        <w:t>SECTIONS</w:t>
      </w:r>
      <w:r w:rsidRPr="003718E4">
        <w:rPr>
          <w:rFonts w:eastAsia="Calibri"/>
          <w:sz w:val="22"/>
          <w:szCs w:val="22"/>
          <w:lang w:bidi="he-IL"/>
        </w:rPr>
        <w:t xml:space="preserve"> </w:t>
      </w:r>
      <w:r>
        <w:rPr>
          <w:rFonts w:eastAsia="Calibri"/>
          <w:sz w:val="22"/>
          <w:szCs w:val="22"/>
          <w:lang w:bidi="he-IL"/>
        </w:rPr>
        <w:t>15.</w:t>
      </w:r>
      <w:r w:rsidRPr="003718E4">
        <w:rPr>
          <w:rFonts w:eastAsia="Calibri"/>
          <w:sz w:val="22"/>
          <w:szCs w:val="22"/>
          <w:lang w:bidi="he-IL"/>
        </w:rPr>
        <w:t>[</w:t>
      </w:r>
      <w:r>
        <w:rPr>
          <w:rFonts w:eastAsia="Calibri"/>
          <w:sz w:val="22"/>
          <w:szCs w:val="22"/>
          <w:lang w:bidi="he-IL"/>
        </w:rPr>
        <w:t>13</w:t>
      </w:r>
      <w:r w:rsidRPr="003718E4">
        <w:rPr>
          <w:rFonts w:eastAsia="Calibri"/>
          <w:sz w:val="22"/>
          <w:szCs w:val="22"/>
          <w:lang w:bidi="he-IL"/>
        </w:rPr>
        <w:t>]</w:t>
      </w:r>
      <w:r>
        <w:rPr>
          <w:rFonts w:eastAsia="Calibri"/>
          <w:sz w:val="22"/>
          <w:szCs w:val="22"/>
          <w:lang w:bidi="he-IL"/>
        </w:rPr>
        <w:t>.1, 15.[13].2 AND 15.[13].3</w:t>
      </w:r>
      <w:r w:rsidR="00233A18">
        <w:rPr>
          <w:rFonts w:eastAsia="Calibri"/>
          <w:sz w:val="22"/>
          <w:szCs w:val="22"/>
          <w:lang w:bidi="he-IL"/>
        </w:rPr>
        <w:t xml:space="preserve"> </w:t>
      </w:r>
      <w:bookmarkStart w:id="1" w:name="_Hlk15717073"/>
      <w:r w:rsidR="00233A18">
        <w:rPr>
          <w:rFonts w:eastAsia="Calibri"/>
          <w:sz w:val="22"/>
          <w:szCs w:val="22"/>
          <w:lang w:bidi="he-IL"/>
        </w:rPr>
        <w:t>T</w:t>
      </w:r>
      <w:r w:rsidR="00275825">
        <w:rPr>
          <w:rFonts w:eastAsia="Calibri"/>
          <w:sz w:val="22"/>
          <w:szCs w:val="22"/>
          <w:lang w:bidi="he-IL"/>
        </w:rPr>
        <w:t>HAT MAY</w:t>
      </w:r>
      <w:r w:rsidR="00233A18">
        <w:rPr>
          <w:rFonts w:eastAsia="Calibri"/>
          <w:sz w:val="22"/>
          <w:szCs w:val="22"/>
          <w:lang w:bidi="he-IL"/>
        </w:rPr>
        <w:t xml:space="preserve"> BE USED BY PARTIES THAT HAVE PREVIOUSLY ADHERED TO THE ISDA PROTOCOL</w:t>
      </w:r>
      <w:r w:rsidR="00A77ACD">
        <w:rPr>
          <w:rFonts w:eastAsia="Calibri"/>
          <w:sz w:val="22"/>
          <w:szCs w:val="22"/>
          <w:lang w:bidi="he-IL"/>
        </w:rPr>
        <w:t xml:space="preserve"> (1A, 2A, and 3A)</w:t>
      </w:r>
      <w:r w:rsidR="00233A18">
        <w:rPr>
          <w:rFonts w:eastAsia="Calibri"/>
          <w:sz w:val="22"/>
          <w:szCs w:val="22"/>
          <w:lang w:bidi="he-IL"/>
        </w:rPr>
        <w:t xml:space="preserve">, OR </w:t>
      </w:r>
      <w:r w:rsidR="00B661D1">
        <w:rPr>
          <w:rFonts w:eastAsia="Calibri"/>
          <w:sz w:val="22"/>
          <w:szCs w:val="22"/>
          <w:lang w:bidi="he-IL"/>
        </w:rPr>
        <w:t xml:space="preserve">PREVIOUSLY </w:t>
      </w:r>
      <w:r w:rsidR="00233A18">
        <w:rPr>
          <w:rFonts w:eastAsia="Calibri"/>
          <w:sz w:val="22"/>
          <w:szCs w:val="22"/>
          <w:lang w:bidi="he-IL"/>
        </w:rPr>
        <w:t>EXECUTED AN ISDA BILATERAL AMENDMENT OR AN IECA BILATERAL AMENDMENT</w:t>
      </w:r>
      <w:bookmarkEnd w:id="1"/>
      <w:r w:rsidR="00A77ACD">
        <w:rPr>
          <w:rFonts w:eastAsia="Calibri"/>
          <w:sz w:val="22"/>
          <w:szCs w:val="22"/>
          <w:lang w:bidi="he-IL"/>
        </w:rPr>
        <w:t xml:space="preserve"> (1B, 2B, and 3B)</w:t>
      </w:r>
      <w:r w:rsidRPr="003718E4">
        <w:rPr>
          <w:rFonts w:eastAsia="Calibri"/>
          <w:sz w:val="22"/>
          <w:szCs w:val="22"/>
          <w:lang w:bidi="he-IL"/>
        </w:rPr>
        <w:t>]</w:t>
      </w:r>
    </w:p>
    <w:p w:rsidR="003718E4" w:rsidRPr="003718E4" w:rsidRDefault="001B288C" w:rsidP="003718E4">
      <w:pPr>
        <w:spacing w:line="240" w:lineRule="exact"/>
        <w:jc w:val="both"/>
        <w:rPr>
          <w:sz w:val="22"/>
          <w:szCs w:val="22"/>
        </w:rPr>
      </w:pPr>
      <w:r>
        <w:rPr>
          <w:rFonts w:eastAsia="Calibri"/>
          <w:sz w:val="22"/>
          <w:szCs w:val="22"/>
          <w:lang w:bidi="he-IL"/>
        </w:rPr>
        <w:t>15.[13].1A</w:t>
      </w:r>
      <w:r w:rsidRPr="003718E4">
        <w:rPr>
          <w:rFonts w:eastAsia="Calibri"/>
          <w:sz w:val="22"/>
          <w:szCs w:val="22"/>
          <w:lang w:bidi="he-IL"/>
        </w:rPr>
        <w:tab/>
      </w:r>
      <w:r w:rsidRPr="003718E4">
        <w:rPr>
          <w:rFonts w:eastAsia="Calibri"/>
          <w:sz w:val="22"/>
          <w:szCs w:val="22"/>
          <w:u w:val="single"/>
          <w:lang w:bidi="he-IL"/>
        </w:rPr>
        <w:t>Incorporation by Reference of QFC Stay Rule Compliance Terms from ISDA Protocol</w:t>
      </w:r>
      <w:r w:rsidR="002C2D47">
        <w:rPr>
          <w:rFonts w:eastAsia="Calibri"/>
          <w:sz w:val="22"/>
          <w:szCs w:val="22"/>
          <w:lang w:bidi="he-IL"/>
        </w:rPr>
        <w:t xml:space="preserve">.  </w:t>
      </w:r>
      <w:r w:rsidRPr="003718E4">
        <w:rPr>
          <w:rFonts w:eastAsia="Calibri"/>
          <w:sz w:val="22"/>
          <w:szCs w:val="22"/>
          <w:lang w:bidi="he-IL"/>
        </w:rPr>
        <w:t>To the extent that prior to the date hereof,</w:t>
      </w:r>
      <w:r w:rsidRPr="003718E4">
        <w:rPr>
          <w:rFonts w:eastAsia="Calibri"/>
          <w:sz w:val="22"/>
          <w:szCs w:val="22"/>
          <w:lang w:bidi="he-IL"/>
        </w:rPr>
        <w:t xml:space="preserve"> both parties have adhered to the</w:t>
      </w:r>
      <w:r w:rsidRPr="003718E4">
        <w:rPr>
          <w:sz w:val="22"/>
          <w:szCs w:val="22"/>
        </w:rPr>
        <w:t xml:space="preserve"> ISDA 2018 US Resolution Stay Protocol, published by ISDA on July 31, 2018 (“</w:t>
      </w:r>
      <w:r w:rsidRPr="003718E4">
        <w:rPr>
          <w:b/>
          <w:sz w:val="22"/>
          <w:szCs w:val="22"/>
        </w:rPr>
        <w:t>ISDA Protocol</w:t>
      </w:r>
      <w:r w:rsidRPr="003718E4">
        <w:rPr>
          <w:sz w:val="22"/>
          <w:szCs w:val="22"/>
        </w:rPr>
        <w:t xml:space="preserve">”), the terms of the ISDA Protocol are incorporated into and form a part of this </w:t>
      </w:r>
      <w:r w:rsidR="00663072">
        <w:rPr>
          <w:sz w:val="22"/>
          <w:szCs w:val="22"/>
        </w:rPr>
        <w:t>Contract</w:t>
      </w:r>
      <w:r w:rsidRPr="003718E4">
        <w:rPr>
          <w:sz w:val="22"/>
          <w:szCs w:val="22"/>
        </w:rPr>
        <w:t xml:space="preserve">, and, for such purposes, this </w:t>
      </w:r>
      <w:r w:rsidR="00663072">
        <w:rPr>
          <w:sz w:val="22"/>
          <w:szCs w:val="22"/>
        </w:rPr>
        <w:t>Contract</w:t>
      </w:r>
      <w:r w:rsidRPr="003718E4">
        <w:rPr>
          <w:sz w:val="22"/>
          <w:szCs w:val="22"/>
        </w:rPr>
        <w:t xml:space="preserve"> shal</w:t>
      </w:r>
      <w:r w:rsidRPr="003718E4">
        <w:rPr>
          <w:sz w:val="22"/>
          <w:szCs w:val="22"/>
        </w:rPr>
        <w:t>l be deemed a “Protocol Covered Agreement”</w:t>
      </w:r>
      <w:r w:rsidR="00663072">
        <w:rPr>
          <w:sz w:val="22"/>
          <w:szCs w:val="22"/>
        </w:rPr>
        <w:t xml:space="preserve"> and each party to this Contrac</w:t>
      </w:r>
      <w:r w:rsidRPr="003718E4">
        <w:rPr>
          <w:sz w:val="22"/>
          <w:szCs w:val="22"/>
        </w:rPr>
        <w:t>t shall be deemed to have the same status as a “Regulated Entity” and/or an “Adhering Party” as applicable to it under the Protocol;</w:t>
      </w:r>
    </w:p>
    <w:p w:rsidR="00A77ACD" w:rsidRPr="00A77ACD" w:rsidRDefault="00A77ACD" w:rsidP="00A77ACD">
      <w:pPr>
        <w:spacing w:line="240" w:lineRule="exact"/>
        <w:jc w:val="both"/>
        <w:rPr>
          <w:sz w:val="22"/>
          <w:szCs w:val="22"/>
        </w:rPr>
      </w:pPr>
    </w:p>
    <w:p w:rsidR="00A77ACD" w:rsidRPr="00A77ACD" w:rsidRDefault="001B288C" w:rsidP="00A77ACD">
      <w:pPr>
        <w:spacing w:line="240" w:lineRule="exact"/>
        <w:jc w:val="both"/>
        <w:rPr>
          <w:sz w:val="22"/>
          <w:szCs w:val="22"/>
        </w:rPr>
      </w:pPr>
      <w:r>
        <w:rPr>
          <w:sz w:val="22"/>
          <w:szCs w:val="22"/>
        </w:rPr>
        <w:lastRenderedPageBreak/>
        <w:t>15.[13].</w:t>
      </w:r>
      <w:r w:rsidRPr="00A77ACD">
        <w:rPr>
          <w:sz w:val="22"/>
          <w:szCs w:val="22"/>
        </w:rPr>
        <w:t>2A</w:t>
      </w:r>
      <w:r w:rsidRPr="00A77ACD">
        <w:rPr>
          <w:sz w:val="22"/>
          <w:szCs w:val="22"/>
        </w:rPr>
        <w:tab/>
      </w:r>
      <w:r w:rsidRPr="00A77ACD">
        <w:rPr>
          <w:sz w:val="22"/>
          <w:szCs w:val="22"/>
          <w:lang w:val="en-GB"/>
        </w:rPr>
        <w:t xml:space="preserve">Notwithstanding the provisions of </w:t>
      </w:r>
      <w:r>
        <w:rPr>
          <w:sz w:val="22"/>
          <w:szCs w:val="22"/>
          <w:lang w:val="en-GB"/>
        </w:rPr>
        <w:t>Sect</w:t>
      </w:r>
      <w:r>
        <w:rPr>
          <w:sz w:val="22"/>
          <w:szCs w:val="22"/>
          <w:lang w:val="en-GB"/>
        </w:rPr>
        <w:t>ion 15.[13].1</w:t>
      </w:r>
      <w:r w:rsidRPr="00A77ACD">
        <w:rPr>
          <w:sz w:val="22"/>
          <w:szCs w:val="22"/>
          <w:lang w:val="en-GB"/>
        </w:rPr>
        <w:t xml:space="preserve"> incorporating the terms of the ISDA Protocol, </w:t>
      </w:r>
      <w:r w:rsidRPr="00A77ACD">
        <w:rPr>
          <w:bCs/>
          <w:sz w:val="22"/>
          <w:szCs w:val="22"/>
        </w:rPr>
        <w:t>the “Creditor Protection Provisions</w:t>
      </w:r>
      <w:r>
        <w:rPr>
          <w:bCs/>
          <w:sz w:val="22"/>
          <w:szCs w:val="22"/>
        </w:rPr>
        <w:t>” Events of Default in Section 15.[13].4</w:t>
      </w:r>
      <w:r w:rsidRPr="00A77ACD">
        <w:rPr>
          <w:bCs/>
          <w:sz w:val="22"/>
          <w:szCs w:val="22"/>
        </w:rPr>
        <w:t xml:space="preserve"> of this </w:t>
      </w:r>
      <w:r w:rsidR="000567A1">
        <w:rPr>
          <w:bCs/>
          <w:sz w:val="22"/>
          <w:szCs w:val="22"/>
        </w:rPr>
        <w:t>Contract</w:t>
      </w:r>
      <w:r w:rsidRPr="00A77ACD">
        <w:rPr>
          <w:bCs/>
          <w:sz w:val="22"/>
          <w:szCs w:val="22"/>
        </w:rPr>
        <w:t xml:space="preserve"> shall remain fully in effect and binding </w:t>
      </w:r>
      <w:r w:rsidR="000567A1">
        <w:rPr>
          <w:bCs/>
          <w:sz w:val="22"/>
          <w:szCs w:val="22"/>
        </w:rPr>
        <w:t>on the parties to this Contract.</w:t>
      </w:r>
    </w:p>
    <w:p w:rsidR="00A77ACD" w:rsidRPr="00A77ACD" w:rsidRDefault="00A77ACD" w:rsidP="00A77ACD">
      <w:pPr>
        <w:spacing w:line="240" w:lineRule="exact"/>
        <w:jc w:val="both"/>
        <w:rPr>
          <w:sz w:val="22"/>
          <w:szCs w:val="22"/>
        </w:rPr>
      </w:pPr>
    </w:p>
    <w:p w:rsidR="00A77ACD" w:rsidRPr="00A77ACD" w:rsidRDefault="001B288C" w:rsidP="00A77ACD">
      <w:pPr>
        <w:spacing w:line="240" w:lineRule="exact"/>
        <w:jc w:val="both"/>
        <w:rPr>
          <w:sz w:val="22"/>
          <w:szCs w:val="22"/>
        </w:rPr>
      </w:pPr>
      <w:r>
        <w:rPr>
          <w:sz w:val="22"/>
          <w:szCs w:val="22"/>
        </w:rPr>
        <w:t>15.[13].</w:t>
      </w:r>
      <w:r w:rsidRPr="00A77ACD">
        <w:rPr>
          <w:sz w:val="22"/>
          <w:szCs w:val="22"/>
        </w:rPr>
        <w:t>3A</w:t>
      </w:r>
      <w:r w:rsidRPr="00A77ACD">
        <w:rPr>
          <w:sz w:val="22"/>
          <w:szCs w:val="22"/>
        </w:rPr>
        <w:tab/>
      </w:r>
      <w:r w:rsidRPr="00A77ACD">
        <w:rPr>
          <w:sz w:val="22"/>
          <w:szCs w:val="22"/>
        </w:rPr>
        <w:t xml:space="preserve">Except as provided in </w:t>
      </w:r>
      <w:r>
        <w:rPr>
          <w:sz w:val="22"/>
          <w:szCs w:val="22"/>
        </w:rPr>
        <w:t>Section 15.[13].2</w:t>
      </w:r>
      <w:r w:rsidRPr="00A77ACD">
        <w:rPr>
          <w:sz w:val="22"/>
          <w:szCs w:val="22"/>
        </w:rPr>
        <w:t>, in the event of any inconsistencies between the terms of the ISDA Protocol (the “</w:t>
      </w:r>
      <w:r w:rsidRPr="00A77ACD">
        <w:rPr>
          <w:b/>
          <w:sz w:val="22"/>
          <w:szCs w:val="22"/>
        </w:rPr>
        <w:t>QFC Stay Terms</w:t>
      </w:r>
      <w:r w:rsidRPr="00A77ACD">
        <w:rPr>
          <w:sz w:val="22"/>
          <w:szCs w:val="22"/>
        </w:rPr>
        <w:t xml:space="preserve">”) and the terms of this </w:t>
      </w:r>
      <w:r w:rsidR="000567A1">
        <w:rPr>
          <w:sz w:val="22"/>
          <w:szCs w:val="22"/>
        </w:rPr>
        <w:t>Contract</w:t>
      </w:r>
      <w:r w:rsidRPr="00A77ACD">
        <w:rPr>
          <w:sz w:val="22"/>
          <w:szCs w:val="22"/>
        </w:rPr>
        <w:t>, the QFC Stay Terms shall govern.</w:t>
      </w:r>
      <w:r>
        <w:rPr>
          <w:sz w:val="22"/>
          <w:szCs w:val="22"/>
        </w:rPr>
        <w:t xml:space="preserve">  For purposes of this Section 15.[13].3</w:t>
      </w:r>
      <w:r w:rsidRPr="00A77ACD">
        <w:rPr>
          <w:sz w:val="22"/>
          <w:szCs w:val="22"/>
        </w:rPr>
        <w:t xml:space="preserve">, references </w:t>
      </w:r>
      <w:r w:rsidRPr="00A77ACD">
        <w:rPr>
          <w:sz w:val="22"/>
          <w:szCs w:val="22"/>
        </w:rPr>
        <w:t xml:space="preserve">to “this </w:t>
      </w:r>
      <w:r w:rsidR="000567A1">
        <w:rPr>
          <w:sz w:val="22"/>
          <w:szCs w:val="22"/>
        </w:rPr>
        <w:t>Contract</w:t>
      </w:r>
      <w:r w:rsidRPr="00A77ACD">
        <w:rPr>
          <w:sz w:val="22"/>
          <w:szCs w:val="22"/>
        </w:rPr>
        <w:t>” include any related credit enhancements entered into between the parties or provided by one to the other</w:t>
      </w:r>
    </w:p>
    <w:p w:rsidR="00A77ACD" w:rsidRPr="00A77ACD" w:rsidRDefault="00A77ACD" w:rsidP="00A77ACD">
      <w:pPr>
        <w:spacing w:line="240" w:lineRule="exact"/>
        <w:jc w:val="both"/>
        <w:rPr>
          <w:sz w:val="22"/>
          <w:szCs w:val="22"/>
        </w:rPr>
      </w:pPr>
    </w:p>
    <w:p w:rsidR="00A77ACD" w:rsidRPr="00A77ACD" w:rsidRDefault="001B288C" w:rsidP="00A77ACD">
      <w:pPr>
        <w:spacing w:line="240" w:lineRule="exact"/>
        <w:jc w:val="both"/>
        <w:rPr>
          <w:sz w:val="22"/>
          <w:szCs w:val="22"/>
        </w:rPr>
      </w:pPr>
      <w:r>
        <w:rPr>
          <w:sz w:val="22"/>
          <w:szCs w:val="22"/>
        </w:rPr>
        <w:t>15.[13].</w:t>
      </w:r>
      <w:r w:rsidRPr="00A77ACD">
        <w:rPr>
          <w:sz w:val="22"/>
          <w:szCs w:val="22"/>
        </w:rPr>
        <w:t>1B</w:t>
      </w:r>
      <w:r w:rsidRPr="00A77ACD">
        <w:rPr>
          <w:sz w:val="22"/>
          <w:szCs w:val="22"/>
        </w:rPr>
        <w:tab/>
      </w:r>
      <w:r w:rsidRPr="00A77ACD">
        <w:rPr>
          <w:rFonts w:eastAsia="Calibri"/>
          <w:sz w:val="22"/>
          <w:szCs w:val="22"/>
          <w:u w:val="single"/>
          <w:lang w:bidi="he-IL"/>
        </w:rPr>
        <w:t>Incorporation by Reference of QFC Stay Rule Compliance Terms from [ISDA Bilateral Amendment or IECA Bilateral Amendment]</w:t>
      </w:r>
      <w:r w:rsidRPr="00A77ACD">
        <w:rPr>
          <w:rFonts w:eastAsia="Calibri"/>
          <w:sz w:val="22"/>
          <w:szCs w:val="22"/>
          <w:lang w:bidi="he-IL"/>
        </w:rPr>
        <w:t>.  To the extent that prior to the date hereof, Party A and Party B have entered into [the</w:t>
      </w:r>
      <w:r w:rsidRPr="00A77ACD">
        <w:rPr>
          <w:sz w:val="22"/>
          <w:szCs w:val="22"/>
        </w:rPr>
        <w:t xml:space="preserve"> form of bilateral template entitled “Full-Length Omnibus (for use between U.S. GSIBs and Corporate Groups)” published by ISDA on November 2, 2018 (currently availabl</w:t>
      </w:r>
      <w:r w:rsidRPr="00A77ACD">
        <w:rPr>
          <w:sz w:val="22"/>
          <w:szCs w:val="22"/>
        </w:rPr>
        <w:t xml:space="preserve">e on the 2018 ISDA U.S. Resolution Stay Protocol page at </w:t>
      </w:r>
      <w:r w:rsidRPr="00A77ACD">
        <w:rPr>
          <w:color w:val="0563C1"/>
          <w:sz w:val="22"/>
          <w:szCs w:val="22"/>
          <w:u w:val="single"/>
        </w:rPr>
        <w:t>www.isda.org</w:t>
      </w:r>
      <w:r w:rsidRPr="00A77ACD">
        <w:rPr>
          <w:sz w:val="22"/>
          <w:szCs w:val="22"/>
        </w:rPr>
        <w:t xml:space="preserve"> and a copy of which is available upon request) (“</w:t>
      </w:r>
      <w:r w:rsidRPr="00A77ACD">
        <w:rPr>
          <w:b/>
          <w:sz w:val="22"/>
          <w:szCs w:val="22"/>
        </w:rPr>
        <w:t>ISDA Bilateral Amendment</w:t>
      </w:r>
      <w:r w:rsidRPr="00A77ACD">
        <w:rPr>
          <w:sz w:val="22"/>
          <w:szCs w:val="22"/>
        </w:rPr>
        <w:t xml:space="preserve">”)] OR [the IECA’s Customized Version of the ISDA Bilateral Amendment template entitled “Template [1-Full-Length </w:t>
      </w:r>
      <w:r w:rsidRPr="00A77ACD">
        <w:rPr>
          <w:sz w:val="22"/>
          <w:szCs w:val="22"/>
        </w:rPr>
        <w:t>Omnibus (for use between U.S. GSIB Group and Corporate Counterparty Entity)],” with the furthe</w:t>
      </w:r>
      <w:r w:rsidR="009206A5">
        <w:rPr>
          <w:sz w:val="22"/>
          <w:szCs w:val="22"/>
        </w:rPr>
        <w:t>r caption of “(IECA Version 10-21</w:t>
      </w:r>
      <w:r w:rsidRPr="00A77ACD">
        <w:rPr>
          <w:sz w:val="22"/>
          <w:szCs w:val="22"/>
        </w:rPr>
        <w:t xml:space="preserve">-2019)” (currently available on the website of the International Energy Credit Association at </w:t>
      </w:r>
      <w:r w:rsidRPr="00A77ACD">
        <w:rPr>
          <w:color w:val="0563C1"/>
          <w:sz w:val="22"/>
          <w:szCs w:val="22"/>
          <w:u w:val="single"/>
        </w:rPr>
        <w:t>www.ieca.net</w:t>
      </w:r>
      <w:r w:rsidRPr="00A77ACD">
        <w:rPr>
          <w:sz w:val="22"/>
          <w:szCs w:val="22"/>
        </w:rPr>
        <w:t>) (“</w:t>
      </w:r>
      <w:r w:rsidRPr="00A77ACD">
        <w:rPr>
          <w:b/>
          <w:sz w:val="22"/>
          <w:szCs w:val="22"/>
        </w:rPr>
        <w:t>IECA Bilateral Amen</w:t>
      </w:r>
      <w:r w:rsidRPr="00A77ACD">
        <w:rPr>
          <w:b/>
          <w:sz w:val="22"/>
          <w:szCs w:val="22"/>
        </w:rPr>
        <w:t>dment</w:t>
      </w:r>
      <w:r w:rsidRPr="00A77ACD">
        <w:rPr>
          <w:sz w:val="22"/>
          <w:szCs w:val="22"/>
        </w:rPr>
        <w:t xml:space="preserve">”)], the terms of Section 1 and Section 2 and the related defined terms </w:t>
      </w:r>
      <w:r w:rsidR="000567A1">
        <w:rPr>
          <w:sz w:val="22"/>
          <w:szCs w:val="22"/>
        </w:rPr>
        <w:t xml:space="preserve">of the [ISDA Bilateral Amendment OR IECA Bilateral Amendment] </w:t>
      </w:r>
      <w:r w:rsidRPr="00A77ACD">
        <w:rPr>
          <w:sz w:val="22"/>
          <w:szCs w:val="22"/>
        </w:rPr>
        <w:t>(together, the “</w:t>
      </w:r>
      <w:r w:rsidRPr="00A77ACD">
        <w:rPr>
          <w:b/>
          <w:sz w:val="22"/>
          <w:szCs w:val="22"/>
        </w:rPr>
        <w:t>Bilateral Terms</w:t>
      </w:r>
      <w:r w:rsidRPr="00A77ACD">
        <w:rPr>
          <w:sz w:val="22"/>
          <w:szCs w:val="22"/>
        </w:rPr>
        <w:t>”) are hereby incorporated int</w:t>
      </w:r>
      <w:r w:rsidR="000567A1">
        <w:rPr>
          <w:sz w:val="22"/>
          <w:szCs w:val="22"/>
        </w:rPr>
        <w:t>o and form part of this Contrac</w:t>
      </w:r>
      <w:r w:rsidRPr="00A77ACD">
        <w:rPr>
          <w:sz w:val="22"/>
          <w:szCs w:val="22"/>
        </w:rPr>
        <w:t>t, and</w:t>
      </w:r>
      <w:r w:rsidR="000567A1">
        <w:rPr>
          <w:sz w:val="22"/>
          <w:szCs w:val="22"/>
        </w:rPr>
        <w:t xml:space="preserve"> for such purposes this Contrac</w:t>
      </w:r>
      <w:r w:rsidRPr="00A77ACD">
        <w:rPr>
          <w:sz w:val="22"/>
          <w:szCs w:val="22"/>
        </w:rPr>
        <w:t>t shall be deemed a “Covered Agreement,” Party A shall be deemed a “Covered Entity” and Party B shall be deemed a “Counterparty Entity;”</w:t>
      </w:r>
    </w:p>
    <w:p w:rsidR="00A77ACD" w:rsidRPr="00A77ACD" w:rsidRDefault="00A77ACD" w:rsidP="00A77ACD">
      <w:pPr>
        <w:spacing w:line="240" w:lineRule="exact"/>
        <w:jc w:val="both"/>
        <w:rPr>
          <w:sz w:val="22"/>
          <w:szCs w:val="22"/>
        </w:rPr>
      </w:pPr>
    </w:p>
    <w:p w:rsidR="00A77ACD" w:rsidRPr="00A77ACD" w:rsidRDefault="001B288C" w:rsidP="00A77ACD">
      <w:pPr>
        <w:spacing w:line="240" w:lineRule="exact"/>
        <w:jc w:val="both"/>
        <w:rPr>
          <w:sz w:val="22"/>
          <w:szCs w:val="22"/>
        </w:rPr>
      </w:pPr>
      <w:r>
        <w:rPr>
          <w:sz w:val="22"/>
          <w:szCs w:val="22"/>
        </w:rPr>
        <w:t>15.[13].</w:t>
      </w:r>
      <w:r w:rsidRPr="00A77ACD">
        <w:rPr>
          <w:sz w:val="22"/>
          <w:szCs w:val="22"/>
        </w:rPr>
        <w:t>2B</w:t>
      </w:r>
      <w:r w:rsidRPr="00A77ACD">
        <w:rPr>
          <w:sz w:val="22"/>
          <w:szCs w:val="22"/>
        </w:rPr>
        <w:tab/>
      </w:r>
      <w:r w:rsidRPr="00A77ACD">
        <w:rPr>
          <w:sz w:val="22"/>
          <w:szCs w:val="22"/>
          <w:u w:val="single"/>
        </w:rPr>
        <w:t>U.S. Protocol.</w:t>
      </w:r>
      <w:r w:rsidRPr="00A77ACD">
        <w:rPr>
          <w:sz w:val="22"/>
          <w:szCs w:val="22"/>
          <w:lang w:val="en-GB"/>
        </w:rPr>
        <w:t xml:space="preserve">  If Party B, as the Counterparty Entity, adheres to the </w:t>
      </w:r>
      <w:r w:rsidRPr="00A77ACD">
        <w:rPr>
          <w:sz w:val="22"/>
          <w:szCs w:val="22"/>
        </w:rPr>
        <w:t xml:space="preserve">ISDA Protocol </w:t>
      </w:r>
      <w:r w:rsidRPr="00A77ACD">
        <w:rPr>
          <w:sz w:val="22"/>
          <w:szCs w:val="22"/>
          <w:lang w:val="en-GB"/>
        </w:rPr>
        <w:t xml:space="preserve">after the date of this </w:t>
      </w:r>
      <w:r w:rsidR="000567A1">
        <w:rPr>
          <w:sz w:val="22"/>
          <w:szCs w:val="22"/>
          <w:lang w:val="en-GB"/>
        </w:rPr>
        <w:t>Contract</w:t>
      </w:r>
      <w:r w:rsidRPr="00A77ACD">
        <w:rPr>
          <w:sz w:val="22"/>
          <w:szCs w:val="22"/>
          <w:lang w:val="en-GB"/>
        </w:rPr>
        <w:t>,</w:t>
      </w:r>
      <w:r w:rsidRPr="00A77ACD">
        <w:rPr>
          <w:sz w:val="22"/>
          <w:szCs w:val="22"/>
          <w:vertAlign w:val="superscript"/>
          <w:lang w:val="en-GB"/>
        </w:rPr>
        <w:t xml:space="preserve"> </w:t>
      </w:r>
      <w:r w:rsidRPr="00A77ACD">
        <w:rPr>
          <w:sz w:val="22"/>
          <w:szCs w:val="22"/>
          <w:lang w:val="en-GB"/>
        </w:rPr>
        <w:t xml:space="preserve">the terms of the ISDA Protocol will supersede and replace the terms of this </w:t>
      </w:r>
      <w:r>
        <w:rPr>
          <w:sz w:val="22"/>
          <w:szCs w:val="22"/>
          <w:lang w:val="en-GB"/>
        </w:rPr>
        <w:t>Section 15.[13]</w:t>
      </w:r>
      <w:r w:rsidRPr="00A77ACD">
        <w:rPr>
          <w:sz w:val="22"/>
          <w:szCs w:val="22"/>
          <w:lang w:val="en-GB"/>
        </w:rPr>
        <w:t>;</w:t>
      </w:r>
      <w:r w:rsidRPr="00A77ACD">
        <w:rPr>
          <w:bCs/>
          <w:sz w:val="22"/>
          <w:szCs w:val="22"/>
        </w:rPr>
        <w:t xml:space="preserve"> provided, however, that the “Creditor Protection Provisions” Events of Default in </w:t>
      </w:r>
      <w:r>
        <w:rPr>
          <w:bCs/>
          <w:sz w:val="22"/>
          <w:szCs w:val="22"/>
        </w:rPr>
        <w:t>Section 15.[13].4</w:t>
      </w:r>
      <w:r w:rsidR="000567A1">
        <w:rPr>
          <w:bCs/>
          <w:sz w:val="22"/>
          <w:szCs w:val="22"/>
        </w:rPr>
        <w:t xml:space="preserve"> of this Contrac</w:t>
      </w:r>
      <w:r w:rsidRPr="00A77ACD">
        <w:rPr>
          <w:bCs/>
          <w:sz w:val="22"/>
          <w:szCs w:val="22"/>
        </w:rPr>
        <w:t xml:space="preserve">t shall remain </w:t>
      </w:r>
      <w:r w:rsidRPr="00A77ACD">
        <w:rPr>
          <w:bCs/>
          <w:sz w:val="22"/>
          <w:szCs w:val="22"/>
        </w:rPr>
        <w:t>fully in effect and binding</w:t>
      </w:r>
      <w:r w:rsidR="000567A1">
        <w:rPr>
          <w:bCs/>
          <w:sz w:val="22"/>
          <w:szCs w:val="22"/>
        </w:rPr>
        <w:t xml:space="preserve"> on the parties to this </w:t>
      </w:r>
      <w:r w:rsidR="000567A1">
        <w:rPr>
          <w:bCs/>
          <w:sz w:val="22"/>
          <w:szCs w:val="22"/>
        </w:rPr>
        <w:br/>
        <w:t>Contrac</w:t>
      </w:r>
      <w:r w:rsidRPr="00A77ACD">
        <w:rPr>
          <w:bCs/>
          <w:sz w:val="22"/>
          <w:szCs w:val="22"/>
        </w:rPr>
        <w:t>t</w:t>
      </w:r>
      <w:r w:rsidRPr="00A77ACD">
        <w:rPr>
          <w:sz w:val="22"/>
          <w:szCs w:val="22"/>
        </w:rPr>
        <w:t>.</w:t>
      </w:r>
    </w:p>
    <w:p w:rsidR="00A77ACD" w:rsidRPr="00A77ACD" w:rsidRDefault="00A77ACD" w:rsidP="00A77ACD">
      <w:pPr>
        <w:spacing w:line="240" w:lineRule="exact"/>
        <w:jc w:val="both"/>
        <w:rPr>
          <w:sz w:val="22"/>
          <w:szCs w:val="22"/>
        </w:rPr>
      </w:pPr>
    </w:p>
    <w:p w:rsidR="005F75C1" w:rsidRPr="005B2174" w:rsidRDefault="001B288C" w:rsidP="005B2174">
      <w:pPr>
        <w:spacing w:line="240" w:lineRule="exact"/>
        <w:jc w:val="both"/>
        <w:rPr>
          <w:sz w:val="22"/>
          <w:szCs w:val="22"/>
        </w:rPr>
      </w:pPr>
      <w:r>
        <w:rPr>
          <w:sz w:val="22"/>
          <w:szCs w:val="22"/>
        </w:rPr>
        <w:t>15.[13].</w:t>
      </w:r>
      <w:r w:rsidRPr="00A77ACD">
        <w:rPr>
          <w:sz w:val="22"/>
          <w:szCs w:val="22"/>
        </w:rPr>
        <w:t>3B</w:t>
      </w:r>
      <w:r w:rsidRPr="00A77ACD">
        <w:rPr>
          <w:sz w:val="22"/>
          <w:szCs w:val="22"/>
        </w:rPr>
        <w:tab/>
        <w:t xml:space="preserve">Except as provided in </w:t>
      </w:r>
      <w:r>
        <w:rPr>
          <w:sz w:val="22"/>
          <w:szCs w:val="22"/>
        </w:rPr>
        <w:t>Section 15.[13].2</w:t>
      </w:r>
      <w:r w:rsidRPr="00A77ACD">
        <w:rPr>
          <w:sz w:val="22"/>
          <w:szCs w:val="22"/>
        </w:rPr>
        <w:t>, in the event of any inconsistencies between the terms of, as applicable, the ISDA Protocol, the [ISDA Bilateral Amendment OR IECA Bilateral A</w:t>
      </w:r>
      <w:r w:rsidRPr="00A77ACD">
        <w:rPr>
          <w:sz w:val="22"/>
          <w:szCs w:val="22"/>
        </w:rPr>
        <w:t>mendment] or the Bilateral Terms (each, the “</w:t>
      </w:r>
      <w:r w:rsidRPr="00A77ACD">
        <w:rPr>
          <w:b/>
          <w:sz w:val="22"/>
          <w:szCs w:val="22"/>
        </w:rPr>
        <w:t>QFC Stay Terms</w:t>
      </w:r>
      <w:r w:rsidRPr="00A77ACD">
        <w:rPr>
          <w:sz w:val="22"/>
          <w:szCs w:val="22"/>
        </w:rPr>
        <w:t xml:space="preserve">”) and the terms of this </w:t>
      </w:r>
      <w:r w:rsidR="000567A1">
        <w:rPr>
          <w:sz w:val="22"/>
          <w:szCs w:val="22"/>
        </w:rPr>
        <w:t>Contract</w:t>
      </w:r>
      <w:r w:rsidRPr="00A77ACD">
        <w:rPr>
          <w:sz w:val="22"/>
          <w:szCs w:val="22"/>
        </w:rPr>
        <w:t xml:space="preserve">, the QFC Stay Terms shall govern.  For purposes of this </w:t>
      </w:r>
      <w:r>
        <w:rPr>
          <w:sz w:val="22"/>
          <w:szCs w:val="22"/>
        </w:rPr>
        <w:t>Section 15.[13].3</w:t>
      </w:r>
      <w:r w:rsidRPr="00A77ACD">
        <w:rPr>
          <w:sz w:val="22"/>
          <w:szCs w:val="22"/>
        </w:rPr>
        <w:t xml:space="preserve">, references to “this </w:t>
      </w:r>
      <w:r w:rsidR="000567A1">
        <w:rPr>
          <w:sz w:val="22"/>
          <w:szCs w:val="22"/>
        </w:rPr>
        <w:t>Contract</w:t>
      </w:r>
      <w:r w:rsidRPr="00A77ACD">
        <w:rPr>
          <w:sz w:val="22"/>
          <w:szCs w:val="22"/>
        </w:rPr>
        <w:t>” include any related credit enhancements entered into betwe</w:t>
      </w:r>
      <w:r w:rsidRPr="00A77ACD">
        <w:rPr>
          <w:sz w:val="22"/>
          <w:szCs w:val="22"/>
        </w:rPr>
        <w:t>en the parties or provided by one to the other</w:t>
      </w:r>
      <w:r w:rsidR="008F00EC">
        <w:rPr>
          <w:sz w:val="22"/>
          <w:szCs w:val="22"/>
        </w:rPr>
        <w:t>.]</w:t>
      </w:r>
    </w:p>
    <w:p w:rsidR="00AF1FEF" w:rsidRDefault="00AF1FEF" w:rsidP="00AF1FEF">
      <w:pPr>
        <w:ind w:left="720"/>
        <w:rPr>
          <w:sz w:val="22"/>
          <w:szCs w:val="22"/>
          <w:lang w:eastAsia="zh-CN"/>
        </w:rPr>
      </w:pPr>
    </w:p>
    <w:p w:rsidR="00A12C80" w:rsidRDefault="001B288C" w:rsidP="00CB7B45">
      <w:pPr>
        <w:ind w:left="720" w:hanging="720"/>
        <w:rPr>
          <w:sz w:val="22"/>
          <w:szCs w:val="22"/>
          <w:lang w:eastAsia="zh-CN"/>
        </w:rPr>
      </w:pPr>
      <w:r>
        <w:rPr>
          <w:sz w:val="22"/>
          <w:szCs w:val="22"/>
          <w:lang w:eastAsia="zh-CN"/>
        </w:rPr>
        <w:t>15.[13].</w:t>
      </w:r>
      <w:r w:rsidR="009C5F34" w:rsidRPr="009C5F34">
        <w:rPr>
          <w:sz w:val="22"/>
          <w:szCs w:val="22"/>
          <w:lang w:eastAsia="zh-CN"/>
        </w:rPr>
        <w:t>4</w:t>
      </w:r>
      <w:r w:rsidR="009C5F34" w:rsidRPr="009C5F34">
        <w:rPr>
          <w:sz w:val="22"/>
          <w:szCs w:val="22"/>
          <w:lang w:eastAsia="zh-CN"/>
        </w:rPr>
        <w:tab/>
      </w:r>
      <w:r w:rsidR="006A126D" w:rsidRPr="00F556B3">
        <w:rPr>
          <w:sz w:val="22"/>
          <w:szCs w:val="22"/>
          <w:u w:val="single"/>
          <w:lang w:eastAsia="zh-CN"/>
        </w:rPr>
        <w:t>“Creditor Protectio</w:t>
      </w:r>
      <w:r w:rsidR="00E42BB6">
        <w:rPr>
          <w:sz w:val="22"/>
          <w:szCs w:val="22"/>
          <w:u w:val="single"/>
          <w:lang w:eastAsia="zh-CN"/>
        </w:rPr>
        <w:t>n Provisions</w:t>
      </w:r>
      <w:r w:rsidR="006A126D" w:rsidRPr="00F556B3">
        <w:rPr>
          <w:sz w:val="22"/>
          <w:szCs w:val="22"/>
          <w:u w:val="single"/>
          <w:lang w:eastAsia="zh-CN"/>
        </w:rPr>
        <w:t xml:space="preserve">” </w:t>
      </w:r>
      <w:r w:rsidR="00E42BB6">
        <w:rPr>
          <w:sz w:val="22"/>
          <w:szCs w:val="22"/>
          <w:u w:val="single"/>
          <w:lang w:eastAsia="zh-CN"/>
        </w:rPr>
        <w:t>Events of Default</w:t>
      </w:r>
      <w:r w:rsidR="006A126D" w:rsidRPr="00F556B3">
        <w:rPr>
          <w:sz w:val="22"/>
          <w:szCs w:val="22"/>
          <w:u w:val="single"/>
          <w:lang w:eastAsia="zh-CN"/>
        </w:rPr>
        <w:t xml:space="preserve">. </w:t>
      </w:r>
    </w:p>
    <w:p w:rsidR="00796418" w:rsidRDefault="00796418" w:rsidP="00DE4243">
      <w:pPr>
        <w:rPr>
          <w:sz w:val="22"/>
          <w:szCs w:val="22"/>
          <w:lang w:eastAsia="zh-CN"/>
        </w:rPr>
      </w:pPr>
    </w:p>
    <w:p w:rsidR="005B4F9D" w:rsidRDefault="001B288C" w:rsidP="00864CD2">
      <w:pPr>
        <w:ind w:left="1440" w:hanging="720"/>
        <w:rPr>
          <w:rFonts w:eastAsia="Calibri" w:cs="Arial"/>
          <w:sz w:val="22"/>
          <w:szCs w:val="22"/>
          <w:lang w:eastAsia="zh-CN" w:bidi="he-IL"/>
        </w:rPr>
      </w:pPr>
      <w:bookmarkStart w:id="2" w:name="_Hlk17745761"/>
      <w:r w:rsidRPr="00864CD2">
        <w:rPr>
          <w:rFonts w:eastAsia="Calibri" w:cs="Arial"/>
          <w:sz w:val="22"/>
          <w:szCs w:val="22"/>
          <w:lang w:eastAsia="zh-CN" w:bidi="he-IL"/>
        </w:rPr>
        <w:t>(a)</w:t>
      </w:r>
      <w:r w:rsidRPr="00864CD2">
        <w:rPr>
          <w:rFonts w:eastAsia="Calibri" w:cs="Arial"/>
          <w:sz w:val="22"/>
          <w:szCs w:val="22"/>
          <w:lang w:eastAsia="zh-CN" w:bidi="he-IL"/>
        </w:rPr>
        <w:tab/>
        <w:t>In the Creditor Protection Provisions</w:t>
      </w:r>
      <w:r>
        <w:rPr>
          <w:rFonts w:eastAsia="Calibri"/>
          <w:vertAlign w:val="superscript"/>
          <w:lang w:eastAsia="zh-CN" w:bidi="he-IL"/>
        </w:rPr>
        <w:footnoteReference w:id="3"/>
      </w:r>
      <w:r w:rsidRPr="00864CD2">
        <w:rPr>
          <w:rFonts w:eastAsia="Calibri" w:cs="Arial"/>
          <w:sz w:val="22"/>
          <w:szCs w:val="22"/>
          <w:lang w:eastAsia="zh-CN" w:bidi="he-IL"/>
        </w:rPr>
        <w:t xml:space="preserve"> of the QFC Stay Rules, the U.S. Bank Regulators have listed multiple factual events (each of which events is called a “</w:t>
      </w:r>
      <w:r w:rsidRPr="00864CD2">
        <w:rPr>
          <w:rFonts w:eastAsia="Calibri" w:cs="Arial"/>
          <w:b/>
          <w:sz w:val="22"/>
          <w:szCs w:val="22"/>
          <w:lang w:eastAsia="zh-CN" w:bidi="he-IL"/>
        </w:rPr>
        <w:t>CPP Event of Default</w:t>
      </w:r>
      <w:r w:rsidRPr="00864CD2">
        <w:rPr>
          <w:rFonts w:eastAsia="Calibri" w:cs="Arial"/>
          <w:sz w:val="22"/>
          <w:szCs w:val="22"/>
          <w:lang w:eastAsia="zh-CN" w:bidi="he-IL"/>
        </w:rPr>
        <w:t xml:space="preserve">” in this </w:t>
      </w:r>
      <w:r w:rsidR="0088631F">
        <w:rPr>
          <w:rFonts w:eastAsia="Calibri" w:cs="Arial"/>
          <w:sz w:val="22"/>
          <w:szCs w:val="22"/>
          <w:lang w:eastAsia="zh-CN" w:bidi="he-IL"/>
        </w:rPr>
        <w:t>Section 15.</w:t>
      </w:r>
      <w:r w:rsidRPr="00864CD2">
        <w:rPr>
          <w:rFonts w:eastAsia="Calibri" w:cs="Arial"/>
          <w:sz w:val="22"/>
          <w:szCs w:val="22"/>
          <w:lang w:eastAsia="zh-CN" w:bidi="he-IL"/>
        </w:rPr>
        <w:t>[</w:t>
      </w:r>
      <w:r w:rsidR="0088631F">
        <w:rPr>
          <w:rFonts w:eastAsia="Calibri" w:cs="Arial"/>
          <w:sz w:val="22"/>
          <w:szCs w:val="22"/>
          <w:lang w:eastAsia="zh-CN" w:bidi="he-IL"/>
        </w:rPr>
        <w:t>13</w:t>
      </w:r>
      <w:r w:rsidRPr="00864CD2">
        <w:rPr>
          <w:rFonts w:eastAsia="Calibri" w:cs="Arial"/>
          <w:sz w:val="22"/>
          <w:szCs w:val="22"/>
          <w:lang w:eastAsia="zh-CN" w:bidi="he-IL"/>
        </w:rPr>
        <w:t>]</w:t>
      </w:r>
      <w:r w:rsidR="0088631F">
        <w:rPr>
          <w:rFonts w:eastAsia="Calibri" w:cs="Arial"/>
          <w:sz w:val="22"/>
          <w:szCs w:val="22"/>
          <w:lang w:eastAsia="zh-CN" w:bidi="he-IL"/>
        </w:rPr>
        <w:t>.4</w:t>
      </w:r>
      <w:r w:rsidRPr="00864CD2">
        <w:rPr>
          <w:rFonts w:eastAsia="Calibri" w:cs="Arial"/>
          <w:sz w:val="22"/>
          <w:szCs w:val="22"/>
          <w:lang w:eastAsia="zh-CN" w:bidi="he-IL"/>
        </w:rPr>
        <w:t xml:space="preserve">).  </w:t>
      </w:r>
    </w:p>
    <w:p w:rsidR="00AD4CED" w:rsidRDefault="00AD4CED" w:rsidP="00864CD2">
      <w:pPr>
        <w:ind w:left="1440" w:hanging="720"/>
        <w:rPr>
          <w:rFonts w:eastAsia="Calibri" w:cs="Arial"/>
          <w:sz w:val="22"/>
          <w:szCs w:val="22"/>
          <w:lang w:eastAsia="zh-CN" w:bidi="he-IL"/>
        </w:rPr>
      </w:pPr>
    </w:p>
    <w:p w:rsidR="00616AA4" w:rsidRDefault="001B288C" w:rsidP="00E3316D">
      <w:pPr>
        <w:ind w:left="1440" w:hanging="720"/>
        <w:rPr>
          <w:rFonts w:eastAsia="Calibri" w:cs="Arial"/>
          <w:sz w:val="22"/>
          <w:szCs w:val="22"/>
          <w:lang w:eastAsia="zh-CN" w:bidi="he-IL"/>
        </w:rPr>
      </w:pPr>
      <w:r>
        <w:rPr>
          <w:rFonts w:eastAsia="Calibri" w:cs="Arial"/>
          <w:sz w:val="22"/>
          <w:szCs w:val="22"/>
          <w:lang w:eastAsia="zh-CN" w:bidi="he-IL"/>
        </w:rPr>
        <w:t>(</w:t>
      </w:r>
      <w:r w:rsidR="004B0EE3">
        <w:rPr>
          <w:rFonts w:eastAsia="Calibri" w:cs="Arial"/>
          <w:sz w:val="22"/>
          <w:szCs w:val="22"/>
          <w:lang w:eastAsia="zh-CN" w:bidi="he-IL"/>
        </w:rPr>
        <w:t>b</w:t>
      </w:r>
      <w:r w:rsidR="00AD4CED">
        <w:rPr>
          <w:rFonts w:eastAsia="Calibri" w:cs="Arial"/>
          <w:sz w:val="22"/>
          <w:szCs w:val="22"/>
          <w:lang w:eastAsia="zh-CN" w:bidi="he-IL"/>
        </w:rPr>
        <w:t>)</w:t>
      </w:r>
      <w:r w:rsidR="00AD4CED">
        <w:rPr>
          <w:rFonts w:eastAsia="Calibri" w:cs="Arial"/>
          <w:sz w:val="22"/>
          <w:szCs w:val="22"/>
          <w:lang w:eastAsia="zh-CN" w:bidi="he-IL"/>
        </w:rPr>
        <w:tab/>
        <w:t>E</w:t>
      </w:r>
      <w:r w:rsidR="00864CD2" w:rsidRPr="00864CD2">
        <w:rPr>
          <w:rFonts w:eastAsia="Calibri" w:cs="Arial"/>
          <w:sz w:val="22"/>
          <w:szCs w:val="22"/>
          <w:lang w:eastAsia="zh-CN" w:bidi="he-IL"/>
        </w:rPr>
        <w:t>ach of the CPP Events of Default enumerated in the Creditor Protection Provisions of the QFC Stay Ru</w:t>
      </w:r>
      <w:r w:rsidR="0025279D">
        <w:rPr>
          <w:rFonts w:eastAsia="Calibri" w:cs="Arial"/>
          <w:sz w:val="22"/>
          <w:szCs w:val="22"/>
          <w:lang w:eastAsia="zh-CN" w:bidi="he-IL"/>
        </w:rPr>
        <w:t>les has been listed below in S</w:t>
      </w:r>
      <w:r w:rsidR="00864CD2">
        <w:rPr>
          <w:rFonts w:eastAsia="Calibri" w:cs="Arial"/>
          <w:sz w:val="22"/>
          <w:szCs w:val="22"/>
          <w:lang w:eastAsia="zh-CN" w:bidi="he-IL"/>
        </w:rPr>
        <w:t>ection</w:t>
      </w:r>
      <w:r w:rsidR="00864CD2" w:rsidRPr="00864CD2">
        <w:rPr>
          <w:rFonts w:eastAsia="Calibri" w:cs="Arial"/>
          <w:sz w:val="22"/>
          <w:szCs w:val="22"/>
          <w:lang w:eastAsia="zh-CN" w:bidi="he-IL"/>
        </w:rPr>
        <w:t xml:space="preserve">s </w:t>
      </w:r>
      <w:r w:rsidR="0088631F">
        <w:rPr>
          <w:rFonts w:eastAsia="Calibri" w:cs="Arial"/>
          <w:sz w:val="22"/>
          <w:szCs w:val="22"/>
          <w:lang w:eastAsia="zh-CN" w:bidi="he-IL"/>
        </w:rPr>
        <w:t>15.</w:t>
      </w:r>
      <w:r w:rsidR="00864CD2" w:rsidRPr="00864CD2">
        <w:rPr>
          <w:rFonts w:eastAsia="Calibri" w:cs="Arial"/>
          <w:sz w:val="22"/>
          <w:szCs w:val="22"/>
          <w:lang w:eastAsia="zh-CN" w:bidi="he-IL"/>
        </w:rPr>
        <w:t>[</w:t>
      </w:r>
      <w:r w:rsidR="0088631F">
        <w:rPr>
          <w:rFonts w:eastAsia="Calibri" w:cs="Arial"/>
          <w:sz w:val="22"/>
          <w:szCs w:val="22"/>
          <w:lang w:eastAsia="zh-CN" w:bidi="he-IL"/>
        </w:rPr>
        <w:t>13].4</w:t>
      </w:r>
      <w:r w:rsidR="00706F08">
        <w:rPr>
          <w:rFonts w:eastAsia="Calibri" w:cs="Arial"/>
          <w:sz w:val="22"/>
          <w:szCs w:val="22"/>
          <w:lang w:eastAsia="zh-CN" w:bidi="he-IL"/>
        </w:rPr>
        <w:t>(g</w:t>
      </w:r>
      <w:r w:rsidR="00864CD2" w:rsidRPr="00864CD2">
        <w:rPr>
          <w:rFonts w:eastAsia="Calibri" w:cs="Arial"/>
          <w:sz w:val="22"/>
          <w:szCs w:val="22"/>
          <w:lang w:eastAsia="zh-CN" w:bidi="he-IL"/>
        </w:rPr>
        <w:t xml:space="preserve">)(i)(1), (2), (3), and (4), </w:t>
      </w:r>
      <w:r w:rsidR="0088631F">
        <w:rPr>
          <w:rFonts w:eastAsia="Calibri" w:cs="Arial"/>
          <w:sz w:val="22"/>
          <w:szCs w:val="22"/>
          <w:lang w:eastAsia="zh-CN" w:bidi="he-IL"/>
        </w:rPr>
        <w:t>15.</w:t>
      </w:r>
      <w:r w:rsidR="00864CD2" w:rsidRPr="00864CD2">
        <w:rPr>
          <w:rFonts w:eastAsia="Calibri" w:cs="Arial"/>
          <w:sz w:val="22"/>
          <w:szCs w:val="22"/>
          <w:lang w:eastAsia="zh-CN" w:bidi="he-IL"/>
        </w:rPr>
        <w:t>[</w:t>
      </w:r>
      <w:r w:rsidR="0088631F">
        <w:rPr>
          <w:rFonts w:eastAsia="Calibri" w:cs="Arial"/>
          <w:sz w:val="22"/>
          <w:szCs w:val="22"/>
          <w:lang w:eastAsia="zh-CN" w:bidi="he-IL"/>
        </w:rPr>
        <w:t>13</w:t>
      </w:r>
      <w:r w:rsidR="00864CD2" w:rsidRPr="00864CD2">
        <w:rPr>
          <w:rFonts w:eastAsia="Calibri" w:cs="Arial"/>
          <w:sz w:val="22"/>
          <w:szCs w:val="22"/>
          <w:lang w:eastAsia="zh-CN" w:bidi="he-IL"/>
        </w:rPr>
        <w:t>]</w:t>
      </w:r>
      <w:r w:rsidR="0088631F">
        <w:rPr>
          <w:rFonts w:eastAsia="Calibri" w:cs="Arial"/>
          <w:sz w:val="22"/>
          <w:szCs w:val="22"/>
          <w:lang w:eastAsia="zh-CN" w:bidi="he-IL"/>
        </w:rPr>
        <w:t>.4</w:t>
      </w:r>
      <w:r w:rsidR="00706F08">
        <w:rPr>
          <w:rFonts w:eastAsia="Calibri" w:cs="Arial"/>
          <w:sz w:val="22"/>
          <w:szCs w:val="22"/>
          <w:lang w:eastAsia="zh-CN" w:bidi="he-IL"/>
        </w:rPr>
        <w:t>(g</w:t>
      </w:r>
      <w:r w:rsidR="00864CD2" w:rsidRPr="00864CD2">
        <w:rPr>
          <w:rFonts w:eastAsia="Calibri" w:cs="Arial"/>
          <w:sz w:val="22"/>
          <w:szCs w:val="22"/>
          <w:lang w:eastAsia="zh-CN" w:bidi="he-IL"/>
        </w:rPr>
        <w:t xml:space="preserve">)(ii)(1), (2), (3), (4), (5), and (6), and </w:t>
      </w:r>
      <w:r w:rsidR="0088631F">
        <w:rPr>
          <w:rFonts w:eastAsia="Calibri" w:cs="Arial"/>
          <w:sz w:val="22"/>
          <w:szCs w:val="22"/>
          <w:lang w:eastAsia="zh-CN" w:bidi="he-IL"/>
        </w:rPr>
        <w:t>15.</w:t>
      </w:r>
      <w:r w:rsidR="00864CD2" w:rsidRPr="00864CD2">
        <w:rPr>
          <w:rFonts w:eastAsia="Calibri" w:cs="Arial"/>
          <w:sz w:val="22"/>
          <w:szCs w:val="22"/>
          <w:lang w:eastAsia="zh-CN" w:bidi="he-IL"/>
        </w:rPr>
        <w:t>[</w:t>
      </w:r>
      <w:r w:rsidR="0088631F">
        <w:rPr>
          <w:rFonts w:eastAsia="Calibri" w:cs="Arial"/>
          <w:sz w:val="22"/>
          <w:szCs w:val="22"/>
          <w:lang w:eastAsia="zh-CN" w:bidi="he-IL"/>
        </w:rPr>
        <w:t>13</w:t>
      </w:r>
      <w:r w:rsidR="00864CD2" w:rsidRPr="00864CD2">
        <w:rPr>
          <w:rFonts w:eastAsia="Calibri" w:cs="Arial"/>
          <w:sz w:val="22"/>
          <w:szCs w:val="22"/>
          <w:lang w:eastAsia="zh-CN" w:bidi="he-IL"/>
        </w:rPr>
        <w:t>]</w:t>
      </w:r>
      <w:r w:rsidR="0088631F">
        <w:rPr>
          <w:rFonts w:eastAsia="Calibri" w:cs="Arial"/>
          <w:sz w:val="22"/>
          <w:szCs w:val="22"/>
          <w:lang w:eastAsia="zh-CN" w:bidi="he-IL"/>
        </w:rPr>
        <w:t>.4</w:t>
      </w:r>
      <w:r w:rsidR="00706F08">
        <w:rPr>
          <w:rFonts w:eastAsia="Calibri" w:cs="Arial"/>
          <w:sz w:val="22"/>
          <w:szCs w:val="22"/>
          <w:lang w:eastAsia="zh-CN" w:bidi="he-IL"/>
        </w:rPr>
        <w:t>(g</w:t>
      </w:r>
      <w:r w:rsidR="00864CD2" w:rsidRPr="00864CD2">
        <w:rPr>
          <w:rFonts w:eastAsia="Calibri" w:cs="Arial"/>
          <w:sz w:val="22"/>
          <w:szCs w:val="22"/>
          <w:lang w:eastAsia="zh-CN" w:bidi="he-IL"/>
        </w:rPr>
        <w:t>)(i</w:t>
      </w:r>
      <w:r w:rsidR="00AD4CED">
        <w:rPr>
          <w:rFonts w:eastAsia="Calibri" w:cs="Arial"/>
          <w:sz w:val="22"/>
          <w:szCs w:val="22"/>
          <w:lang w:eastAsia="zh-CN" w:bidi="he-IL"/>
        </w:rPr>
        <w:t>ii)(1) and (2) of this Contract</w:t>
      </w:r>
      <w:r w:rsidR="00864CD2" w:rsidRPr="00864CD2">
        <w:rPr>
          <w:rFonts w:eastAsia="Calibri" w:cs="Arial"/>
          <w:sz w:val="22"/>
          <w:szCs w:val="22"/>
          <w:lang w:eastAsia="zh-CN" w:bidi="he-IL"/>
        </w:rPr>
        <w:t>.</w:t>
      </w:r>
      <w:r w:rsidR="00E3316D">
        <w:rPr>
          <w:rFonts w:eastAsia="Calibri" w:cs="Arial"/>
          <w:sz w:val="22"/>
          <w:szCs w:val="22"/>
          <w:lang w:eastAsia="zh-CN" w:bidi="he-IL"/>
        </w:rPr>
        <w:t xml:space="preserve">  </w:t>
      </w:r>
      <w:r w:rsidRPr="00616AA4">
        <w:rPr>
          <w:rFonts w:eastAsia="Calibri" w:cs="Arial"/>
          <w:sz w:val="22"/>
          <w:szCs w:val="22"/>
          <w:lang w:eastAsia="zh-CN" w:bidi="he-IL"/>
        </w:rPr>
        <w:t>For eac</w:t>
      </w:r>
      <w:r w:rsidR="0025279D">
        <w:rPr>
          <w:rFonts w:eastAsia="Calibri" w:cs="Arial"/>
          <w:sz w:val="22"/>
          <w:szCs w:val="22"/>
          <w:lang w:eastAsia="zh-CN" w:bidi="he-IL"/>
        </w:rPr>
        <w:t>h such CPP Event of Default, S</w:t>
      </w:r>
      <w:r>
        <w:rPr>
          <w:rFonts w:eastAsia="Calibri" w:cs="Arial"/>
          <w:sz w:val="22"/>
          <w:szCs w:val="22"/>
          <w:lang w:eastAsia="zh-CN" w:bidi="he-IL"/>
        </w:rPr>
        <w:t>ection</w:t>
      </w:r>
      <w:r w:rsidRPr="00616AA4">
        <w:rPr>
          <w:rFonts w:eastAsia="Calibri" w:cs="Arial"/>
          <w:sz w:val="22"/>
          <w:szCs w:val="22"/>
          <w:lang w:eastAsia="zh-CN" w:bidi="he-IL"/>
        </w:rPr>
        <w:t xml:space="preserve">s </w:t>
      </w:r>
      <w:r>
        <w:rPr>
          <w:rFonts w:eastAsia="Calibri" w:cs="Arial"/>
          <w:sz w:val="22"/>
          <w:szCs w:val="22"/>
          <w:lang w:eastAsia="zh-CN" w:bidi="he-IL"/>
        </w:rPr>
        <w:t>15.</w:t>
      </w:r>
      <w:r w:rsidRPr="00616AA4">
        <w:rPr>
          <w:rFonts w:eastAsia="Calibri" w:cs="Arial"/>
          <w:sz w:val="22"/>
          <w:szCs w:val="22"/>
          <w:lang w:eastAsia="zh-CN" w:bidi="he-IL"/>
        </w:rPr>
        <w:t>[</w:t>
      </w:r>
      <w:r>
        <w:rPr>
          <w:rFonts w:eastAsia="Calibri" w:cs="Arial"/>
          <w:sz w:val="22"/>
          <w:szCs w:val="22"/>
          <w:lang w:eastAsia="zh-CN" w:bidi="he-IL"/>
        </w:rPr>
        <w:t>13</w:t>
      </w:r>
      <w:r w:rsidRPr="00616AA4">
        <w:rPr>
          <w:rFonts w:eastAsia="Calibri" w:cs="Arial"/>
          <w:sz w:val="22"/>
          <w:szCs w:val="22"/>
          <w:lang w:eastAsia="zh-CN" w:bidi="he-IL"/>
        </w:rPr>
        <w:t>]</w:t>
      </w:r>
      <w:r>
        <w:rPr>
          <w:rFonts w:eastAsia="Calibri" w:cs="Arial"/>
          <w:sz w:val="22"/>
          <w:szCs w:val="22"/>
          <w:lang w:eastAsia="zh-CN" w:bidi="he-IL"/>
        </w:rPr>
        <w:t>.4</w:t>
      </w:r>
      <w:r w:rsidR="00706F08">
        <w:rPr>
          <w:rFonts w:eastAsia="Calibri" w:cs="Arial"/>
          <w:sz w:val="22"/>
          <w:szCs w:val="22"/>
          <w:lang w:eastAsia="zh-CN" w:bidi="he-IL"/>
        </w:rPr>
        <w:t>(g</w:t>
      </w:r>
      <w:r w:rsidRPr="00616AA4">
        <w:rPr>
          <w:rFonts w:eastAsia="Calibri" w:cs="Arial"/>
          <w:sz w:val="22"/>
          <w:szCs w:val="22"/>
          <w:lang w:eastAsia="zh-CN" w:bidi="he-IL"/>
        </w:rPr>
        <w:t xml:space="preserve">)(i)(1), (2), (3), and (4), </w:t>
      </w:r>
      <w:r>
        <w:rPr>
          <w:rFonts w:eastAsia="Calibri" w:cs="Arial"/>
          <w:sz w:val="22"/>
          <w:szCs w:val="22"/>
          <w:lang w:eastAsia="zh-CN" w:bidi="he-IL"/>
        </w:rPr>
        <w:t>15.[13</w:t>
      </w:r>
      <w:r w:rsidRPr="00616AA4">
        <w:rPr>
          <w:rFonts w:eastAsia="Calibri" w:cs="Arial"/>
          <w:sz w:val="22"/>
          <w:szCs w:val="22"/>
          <w:lang w:eastAsia="zh-CN" w:bidi="he-IL"/>
        </w:rPr>
        <w:t>]</w:t>
      </w:r>
      <w:r>
        <w:rPr>
          <w:rFonts w:eastAsia="Calibri" w:cs="Arial"/>
          <w:sz w:val="22"/>
          <w:szCs w:val="22"/>
          <w:lang w:eastAsia="zh-CN" w:bidi="he-IL"/>
        </w:rPr>
        <w:t>.4</w:t>
      </w:r>
      <w:r w:rsidR="00706F08">
        <w:rPr>
          <w:rFonts w:eastAsia="Calibri" w:cs="Arial"/>
          <w:sz w:val="22"/>
          <w:szCs w:val="22"/>
          <w:lang w:eastAsia="zh-CN" w:bidi="he-IL"/>
        </w:rPr>
        <w:t>(g</w:t>
      </w:r>
      <w:r w:rsidRPr="00616AA4">
        <w:rPr>
          <w:rFonts w:eastAsia="Calibri" w:cs="Arial"/>
          <w:sz w:val="22"/>
          <w:szCs w:val="22"/>
          <w:lang w:eastAsia="zh-CN" w:bidi="he-IL"/>
        </w:rPr>
        <w:t xml:space="preserve">)(ii)(1), (2), (3), (4), (5), and (6), and </w:t>
      </w:r>
      <w:r>
        <w:rPr>
          <w:rFonts w:eastAsia="Calibri" w:cs="Arial"/>
          <w:sz w:val="22"/>
          <w:szCs w:val="22"/>
          <w:lang w:eastAsia="zh-CN" w:bidi="he-IL"/>
        </w:rPr>
        <w:t>15.[13</w:t>
      </w:r>
      <w:r w:rsidRPr="00616AA4">
        <w:rPr>
          <w:rFonts w:eastAsia="Calibri" w:cs="Arial"/>
          <w:sz w:val="22"/>
          <w:szCs w:val="22"/>
          <w:lang w:eastAsia="zh-CN" w:bidi="he-IL"/>
        </w:rPr>
        <w:t>]</w:t>
      </w:r>
      <w:r>
        <w:rPr>
          <w:rFonts w:eastAsia="Calibri" w:cs="Arial"/>
          <w:sz w:val="22"/>
          <w:szCs w:val="22"/>
          <w:lang w:eastAsia="zh-CN" w:bidi="he-IL"/>
        </w:rPr>
        <w:t>.4</w:t>
      </w:r>
      <w:r w:rsidR="00706F08">
        <w:rPr>
          <w:rFonts w:eastAsia="Calibri" w:cs="Arial"/>
          <w:sz w:val="22"/>
          <w:szCs w:val="22"/>
          <w:lang w:eastAsia="zh-CN" w:bidi="he-IL"/>
        </w:rPr>
        <w:t>(g</w:t>
      </w:r>
      <w:r w:rsidRPr="00616AA4">
        <w:rPr>
          <w:rFonts w:eastAsia="Calibri" w:cs="Arial"/>
          <w:sz w:val="22"/>
          <w:szCs w:val="22"/>
          <w:lang w:eastAsia="zh-CN" w:bidi="he-IL"/>
        </w:rPr>
        <w:t xml:space="preserve">)(iii)(1) and (2) of this </w:t>
      </w:r>
      <w:r w:rsidR="00E3316D">
        <w:rPr>
          <w:rFonts w:eastAsia="Calibri" w:cs="Arial"/>
          <w:sz w:val="22"/>
          <w:szCs w:val="22"/>
          <w:lang w:eastAsia="zh-CN" w:bidi="he-IL"/>
        </w:rPr>
        <w:t>Contract</w:t>
      </w:r>
      <w:r w:rsidRPr="00616AA4">
        <w:rPr>
          <w:rFonts w:eastAsia="Calibri" w:cs="Arial"/>
          <w:sz w:val="22"/>
          <w:szCs w:val="22"/>
          <w:lang w:eastAsia="zh-CN" w:bidi="he-IL"/>
        </w:rPr>
        <w:t xml:space="preserve"> also designates a “</w:t>
      </w:r>
      <w:r w:rsidRPr="00616AA4">
        <w:rPr>
          <w:rFonts w:eastAsia="Calibri" w:cs="Arial"/>
          <w:b/>
          <w:sz w:val="22"/>
          <w:szCs w:val="22"/>
          <w:lang w:eastAsia="zh-CN" w:bidi="he-IL"/>
        </w:rPr>
        <w:t>Corresponding Event of Default</w:t>
      </w:r>
      <w:r w:rsidRPr="00616AA4">
        <w:rPr>
          <w:rFonts w:eastAsia="Calibri" w:cs="Arial"/>
          <w:sz w:val="22"/>
          <w:szCs w:val="22"/>
          <w:lang w:eastAsia="zh-CN" w:bidi="he-IL"/>
        </w:rPr>
        <w:t xml:space="preserve">.”  Each Corresponding </w:t>
      </w:r>
      <w:r w:rsidRPr="00616AA4">
        <w:rPr>
          <w:rFonts w:eastAsia="Calibri" w:cs="Arial"/>
          <w:sz w:val="22"/>
          <w:szCs w:val="22"/>
          <w:lang w:eastAsia="zh-CN" w:bidi="he-IL"/>
        </w:rPr>
        <w:lastRenderedPageBreak/>
        <w:t>Event of Default is comprised of (i) a</w:t>
      </w:r>
      <w:r w:rsidR="00EC560D">
        <w:rPr>
          <w:rFonts w:eastAsia="Calibri" w:cs="Arial"/>
          <w:sz w:val="22"/>
          <w:szCs w:val="22"/>
          <w:lang w:eastAsia="zh-CN" w:bidi="he-IL"/>
        </w:rPr>
        <w:t xml:space="preserve"> specified event of default (“</w:t>
      </w:r>
      <w:r w:rsidRPr="00EC560D">
        <w:rPr>
          <w:rFonts w:eastAsia="Calibri" w:cs="Arial"/>
          <w:b/>
          <w:sz w:val="22"/>
          <w:szCs w:val="22"/>
          <w:lang w:eastAsia="zh-CN" w:bidi="he-IL"/>
        </w:rPr>
        <w:t>Event of Default</w:t>
      </w:r>
      <w:r w:rsidR="00EC560D">
        <w:rPr>
          <w:rFonts w:eastAsia="Calibri" w:cs="Arial"/>
          <w:sz w:val="22"/>
          <w:szCs w:val="22"/>
          <w:lang w:eastAsia="zh-CN" w:bidi="he-IL"/>
        </w:rPr>
        <w:t>”)</w:t>
      </w:r>
      <w:r w:rsidRPr="00616AA4">
        <w:rPr>
          <w:rFonts w:eastAsia="Calibri" w:cs="Arial"/>
          <w:sz w:val="22"/>
          <w:szCs w:val="22"/>
          <w:lang w:eastAsia="zh-CN" w:bidi="he-IL"/>
        </w:rPr>
        <w:t xml:space="preserve"> potentially in effect under Section </w:t>
      </w:r>
      <w:r w:rsidR="00A02D0A">
        <w:rPr>
          <w:rFonts w:eastAsia="Calibri" w:cs="Arial"/>
          <w:sz w:val="22"/>
          <w:szCs w:val="22"/>
          <w:lang w:eastAsia="zh-CN" w:bidi="he-IL"/>
        </w:rPr>
        <w:t>10.2</w:t>
      </w:r>
      <w:r w:rsidRPr="00616AA4">
        <w:rPr>
          <w:rFonts w:eastAsia="Calibri" w:cs="Arial"/>
          <w:sz w:val="22"/>
          <w:szCs w:val="22"/>
          <w:lang w:eastAsia="zh-CN" w:bidi="he-IL"/>
        </w:rPr>
        <w:t xml:space="preserve"> of this </w:t>
      </w:r>
      <w:r w:rsidR="00A02D0A">
        <w:rPr>
          <w:rFonts w:eastAsia="Calibri" w:cs="Arial"/>
          <w:sz w:val="22"/>
          <w:szCs w:val="22"/>
          <w:lang w:eastAsia="zh-CN" w:bidi="he-IL"/>
        </w:rPr>
        <w:t>Contract</w:t>
      </w:r>
      <w:r w:rsidRPr="00616AA4">
        <w:rPr>
          <w:rFonts w:eastAsia="Calibri" w:cs="Arial"/>
          <w:sz w:val="22"/>
          <w:szCs w:val="22"/>
          <w:lang w:eastAsia="zh-CN" w:bidi="he-IL"/>
        </w:rPr>
        <w:t xml:space="preserve"> and (ii) with respect</w:t>
      </w:r>
      <w:r w:rsidR="00647687">
        <w:rPr>
          <w:rFonts w:eastAsia="Calibri" w:cs="Arial"/>
          <w:sz w:val="22"/>
          <w:szCs w:val="22"/>
          <w:lang w:eastAsia="zh-CN" w:bidi="he-IL"/>
        </w:rPr>
        <w:t xml:space="preserve"> to some but not all of such Corresponding</w:t>
      </w:r>
      <w:r w:rsidRPr="00616AA4">
        <w:rPr>
          <w:rFonts w:eastAsia="Calibri" w:cs="Arial"/>
          <w:sz w:val="22"/>
          <w:szCs w:val="22"/>
          <w:lang w:eastAsia="zh-CN" w:bidi="he-IL"/>
        </w:rPr>
        <w:t xml:space="preserve"> Events of Default, certain additional </w:t>
      </w:r>
      <w:r w:rsidR="00766AB5">
        <w:rPr>
          <w:rFonts w:eastAsia="Calibri" w:cs="Arial"/>
          <w:sz w:val="22"/>
          <w:szCs w:val="22"/>
          <w:lang w:eastAsia="zh-CN" w:bidi="he-IL"/>
        </w:rPr>
        <w:t>commercial provisions</w:t>
      </w:r>
      <w:r w:rsidRPr="00616AA4">
        <w:rPr>
          <w:rFonts w:eastAsia="Calibri" w:cs="Arial"/>
          <w:sz w:val="22"/>
          <w:szCs w:val="22"/>
          <w:lang w:eastAsia="zh-CN" w:bidi="he-IL"/>
        </w:rPr>
        <w:t xml:space="preserve"> (“</w:t>
      </w:r>
      <w:r w:rsidR="00766AB5">
        <w:rPr>
          <w:rFonts w:eastAsia="Calibri" w:cs="Arial"/>
          <w:b/>
          <w:sz w:val="22"/>
          <w:szCs w:val="22"/>
          <w:lang w:eastAsia="zh-CN" w:bidi="he-IL"/>
        </w:rPr>
        <w:t>Commercial Provis</w:t>
      </w:r>
      <w:r w:rsidRPr="00616AA4">
        <w:rPr>
          <w:rFonts w:eastAsia="Calibri" w:cs="Arial"/>
          <w:b/>
          <w:sz w:val="22"/>
          <w:szCs w:val="22"/>
          <w:lang w:eastAsia="zh-CN" w:bidi="he-IL"/>
        </w:rPr>
        <w:t>ions</w:t>
      </w:r>
      <w:r w:rsidRPr="00616AA4">
        <w:rPr>
          <w:rFonts w:eastAsia="Calibri" w:cs="Arial"/>
          <w:sz w:val="22"/>
          <w:szCs w:val="22"/>
          <w:lang w:eastAsia="zh-CN" w:bidi="he-IL"/>
        </w:rPr>
        <w:t>”)</w:t>
      </w:r>
      <w:r w:rsidRPr="00616AA4">
        <w:rPr>
          <w:rFonts w:eastAsia="Calibri" w:cs="Arial"/>
          <w:sz w:val="22"/>
          <w:szCs w:val="22"/>
          <w:lang w:eastAsia="zh-CN" w:bidi="he-IL"/>
        </w:rPr>
        <w:t xml:space="preserve"> </w:t>
      </w:r>
      <w:r w:rsidR="00E439CC">
        <w:rPr>
          <w:rFonts w:eastAsia="Calibri" w:cs="Arial"/>
          <w:sz w:val="22"/>
          <w:szCs w:val="22"/>
          <w:lang w:eastAsia="zh-CN" w:bidi="he-IL"/>
        </w:rPr>
        <w:t xml:space="preserve">that are </w:t>
      </w:r>
      <w:r w:rsidR="00A02D0A">
        <w:rPr>
          <w:rFonts w:eastAsia="Calibri" w:cs="Arial"/>
          <w:sz w:val="22"/>
          <w:szCs w:val="22"/>
          <w:lang w:eastAsia="zh-CN" w:bidi="he-IL"/>
        </w:rPr>
        <w:t>required to be in effect under this Contract</w:t>
      </w:r>
      <w:r w:rsidRPr="00616AA4">
        <w:rPr>
          <w:rFonts w:eastAsia="Calibri" w:cs="Arial"/>
          <w:sz w:val="22"/>
          <w:szCs w:val="22"/>
          <w:lang w:eastAsia="zh-CN" w:bidi="he-IL"/>
        </w:rPr>
        <w:t>.</w:t>
      </w:r>
    </w:p>
    <w:p w:rsidR="00616AA4" w:rsidRDefault="00616AA4" w:rsidP="00616AA4">
      <w:pPr>
        <w:ind w:left="1440" w:hanging="720"/>
        <w:rPr>
          <w:rFonts w:eastAsia="Calibri" w:cs="Arial"/>
          <w:sz w:val="22"/>
          <w:szCs w:val="22"/>
          <w:lang w:eastAsia="zh-CN" w:bidi="he-IL"/>
        </w:rPr>
      </w:pPr>
    </w:p>
    <w:p w:rsidR="0094179D" w:rsidRDefault="001B288C" w:rsidP="00616AA4">
      <w:pPr>
        <w:ind w:left="1440" w:hanging="720"/>
        <w:rPr>
          <w:sz w:val="22"/>
          <w:szCs w:val="22"/>
          <w:lang w:eastAsia="zh-CN"/>
        </w:rPr>
      </w:pPr>
      <w:r>
        <w:rPr>
          <w:rFonts w:eastAsia="Calibri" w:cs="Arial"/>
          <w:sz w:val="22"/>
          <w:szCs w:val="22"/>
          <w:lang w:eastAsia="zh-CN" w:bidi="he-IL"/>
        </w:rPr>
        <w:t>(</w:t>
      </w:r>
      <w:r w:rsidR="004B0EE3">
        <w:rPr>
          <w:rFonts w:eastAsia="Calibri" w:cs="Arial"/>
          <w:sz w:val="22"/>
          <w:szCs w:val="22"/>
          <w:lang w:eastAsia="zh-CN" w:bidi="he-IL"/>
        </w:rPr>
        <w:t>c</w:t>
      </w:r>
      <w:r w:rsidR="00616AA4">
        <w:rPr>
          <w:rFonts w:eastAsia="Calibri" w:cs="Arial"/>
          <w:sz w:val="22"/>
          <w:szCs w:val="22"/>
          <w:lang w:eastAsia="zh-CN" w:bidi="he-IL"/>
        </w:rPr>
        <w:t>)</w:t>
      </w:r>
      <w:r w:rsidR="00616AA4">
        <w:rPr>
          <w:rFonts w:eastAsia="Calibri" w:cs="Arial"/>
          <w:sz w:val="22"/>
          <w:szCs w:val="22"/>
          <w:lang w:eastAsia="zh-CN" w:bidi="he-IL"/>
        </w:rPr>
        <w:tab/>
      </w:r>
      <w:r w:rsidR="00796418" w:rsidRPr="00796418">
        <w:rPr>
          <w:sz w:val="22"/>
          <w:szCs w:val="22"/>
          <w:lang w:eastAsia="zh-CN"/>
        </w:rPr>
        <w:t xml:space="preserve">Party A, as the Covered Entity, and Party B, as the Counterparty Entity, hereby acknowledge and agree that with respect to this </w:t>
      </w:r>
      <w:r w:rsidR="00F71D85">
        <w:rPr>
          <w:sz w:val="22"/>
          <w:szCs w:val="22"/>
          <w:lang w:eastAsia="zh-CN"/>
        </w:rPr>
        <w:t>Contract</w:t>
      </w:r>
      <w:r w:rsidR="00796418" w:rsidRPr="00796418">
        <w:rPr>
          <w:sz w:val="22"/>
          <w:szCs w:val="22"/>
          <w:lang w:eastAsia="zh-CN"/>
        </w:rPr>
        <w:t xml:space="preserve">, as a Covered Direct QFC, and </w:t>
      </w:r>
      <w:bookmarkStart w:id="3" w:name="_Hlk23446321"/>
      <w:r w:rsidR="00796418" w:rsidRPr="00796418">
        <w:rPr>
          <w:sz w:val="22"/>
          <w:szCs w:val="22"/>
          <w:lang w:eastAsia="zh-CN"/>
        </w:rPr>
        <w:t xml:space="preserve">with respect to </w:t>
      </w:r>
      <w:r w:rsidR="00584E93">
        <w:rPr>
          <w:sz w:val="22"/>
          <w:szCs w:val="22"/>
          <w:lang w:eastAsia="zh-CN"/>
        </w:rPr>
        <w:t>any G</w:t>
      </w:r>
      <w:r w:rsidR="009911DA">
        <w:rPr>
          <w:sz w:val="22"/>
          <w:szCs w:val="22"/>
          <w:lang w:eastAsia="zh-CN"/>
        </w:rPr>
        <w:t xml:space="preserve">uarantor </w:t>
      </w:r>
      <w:r w:rsidR="001E41AD">
        <w:rPr>
          <w:sz w:val="22"/>
          <w:szCs w:val="22"/>
          <w:lang w:eastAsia="zh-CN"/>
        </w:rPr>
        <w:t>that supports</w:t>
      </w:r>
      <w:r w:rsidR="009911DA">
        <w:rPr>
          <w:sz w:val="22"/>
          <w:szCs w:val="22"/>
          <w:lang w:eastAsia="zh-CN"/>
        </w:rPr>
        <w:t xml:space="preserve"> </w:t>
      </w:r>
      <w:r w:rsidR="00395259">
        <w:rPr>
          <w:sz w:val="22"/>
          <w:szCs w:val="22"/>
          <w:lang w:eastAsia="zh-CN"/>
        </w:rPr>
        <w:t xml:space="preserve">Party A’s </w:t>
      </w:r>
      <w:r w:rsidR="009911DA">
        <w:rPr>
          <w:sz w:val="22"/>
          <w:szCs w:val="22"/>
          <w:lang w:eastAsia="zh-CN"/>
        </w:rPr>
        <w:t>obligations</w:t>
      </w:r>
      <w:r w:rsidR="00395259">
        <w:rPr>
          <w:sz w:val="22"/>
          <w:szCs w:val="22"/>
          <w:lang w:eastAsia="zh-CN"/>
        </w:rPr>
        <w:t>, as a Covered Affiliate Support Provider</w:t>
      </w:r>
      <w:r w:rsidR="00B13596">
        <w:rPr>
          <w:sz w:val="22"/>
          <w:szCs w:val="22"/>
          <w:lang w:eastAsia="zh-CN"/>
        </w:rPr>
        <w:t xml:space="preserve">, and with respect to any </w:t>
      </w:r>
      <w:r w:rsidR="00395259">
        <w:rPr>
          <w:sz w:val="22"/>
          <w:szCs w:val="22"/>
          <w:lang w:eastAsia="zh-CN"/>
        </w:rPr>
        <w:t>guaranty</w:t>
      </w:r>
      <w:r w:rsidR="00B13596">
        <w:rPr>
          <w:sz w:val="22"/>
          <w:szCs w:val="22"/>
          <w:lang w:eastAsia="zh-CN"/>
        </w:rPr>
        <w:t xml:space="preserve"> or other Credit Support</w:t>
      </w:r>
      <w:r w:rsidR="001E41AD">
        <w:rPr>
          <w:sz w:val="22"/>
          <w:szCs w:val="22"/>
          <w:lang w:eastAsia="zh-CN"/>
        </w:rPr>
        <w:t xml:space="preserve"> Obligation </w:t>
      </w:r>
      <w:r w:rsidR="00B13596">
        <w:rPr>
          <w:sz w:val="22"/>
          <w:szCs w:val="22"/>
          <w:lang w:eastAsia="zh-CN"/>
        </w:rPr>
        <w:t>provided by such Guarantor</w:t>
      </w:r>
      <w:r w:rsidR="00395259">
        <w:rPr>
          <w:sz w:val="22"/>
          <w:szCs w:val="22"/>
          <w:lang w:eastAsia="zh-CN"/>
        </w:rPr>
        <w:t xml:space="preserve">, </w:t>
      </w:r>
      <w:r w:rsidR="00796418" w:rsidRPr="00796418">
        <w:rPr>
          <w:sz w:val="22"/>
          <w:szCs w:val="22"/>
          <w:lang w:eastAsia="zh-CN"/>
        </w:rPr>
        <w:t>as a Covered Affiliate Credit Enhancement that supports th</w:t>
      </w:r>
      <w:r w:rsidR="00395259">
        <w:rPr>
          <w:sz w:val="22"/>
          <w:szCs w:val="22"/>
          <w:lang w:eastAsia="zh-CN"/>
        </w:rPr>
        <w:t>is Contrac</w:t>
      </w:r>
      <w:r w:rsidR="00796418" w:rsidRPr="00796418">
        <w:rPr>
          <w:sz w:val="22"/>
          <w:szCs w:val="22"/>
          <w:lang w:eastAsia="zh-CN"/>
        </w:rPr>
        <w:t>t as a Covered Direct QFC</w:t>
      </w:r>
      <w:r w:rsidR="009911DA">
        <w:rPr>
          <w:sz w:val="22"/>
          <w:szCs w:val="22"/>
          <w:lang w:eastAsia="zh-CN"/>
        </w:rPr>
        <w:t xml:space="preserve">, </w:t>
      </w:r>
      <w:bookmarkEnd w:id="3"/>
      <w:r w:rsidR="009911DA">
        <w:rPr>
          <w:sz w:val="22"/>
          <w:szCs w:val="22"/>
          <w:lang w:eastAsia="zh-CN"/>
        </w:rPr>
        <w:t>and</w:t>
      </w:r>
      <w:r w:rsidR="005331DB">
        <w:rPr>
          <w:sz w:val="22"/>
          <w:szCs w:val="22"/>
          <w:lang w:eastAsia="zh-CN"/>
        </w:rPr>
        <w:t xml:space="preserve"> with respect to a</w:t>
      </w:r>
      <w:r w:rsidR="009911DA">
        <w:rPr>
          <w:sz w:val="22"/>
          <w:szCs w:val="22"/>
          <w:lang w:eastAsia="zh-CN"/>
        </w:rPr>
        <w:t>ny</w:t>
      </w:r>
      <w:r w:rsidR="005331DB">
        <w:rPr>
          <w:sz w:val="22"/>
          <w:szCs w:val="22"/>
          <w:lang w:eastAsia="zh-CN"/>
        </w:rPr>
        <w:t xml:space="preserve"> Transferee</w:t>
      </w:r>
      <w:r w:rsidR="00796418" w:rsidRPr="00796418">
        <w:rPr>
          <w:sz w:val="22"/>
          <w:szCs w:val="22"/>
          <w:lang w:eastAsia="zh-CN"/>
        </w:rPr>
        <w:t xml:space="preserve">: </w:t>
      </w:r>
    </w:p>
    <w:p w:rsidR="0094179D" w:rsidRDefault="0094179D" w:rsidP="00616AA4">
      <w:pPr>
        <w:ind w:left="1440" w:hanging="720"/>
        <w:rPr>
          <w:sz w:val="22"/>
          <w:szCs w:val="22"/>
          <w:lang w:eastAsia="zh-CN"/>
        </w:rPr>
      </w:pPr>
    </w:p>
    <w:p w:rsidR="008C36E2" w:rsidRPr="008C36E2" w:rsidRDefault="001B288C" w:rsidP="008C36E2">
      <w:pPr>
        <w:ind w:left="2160" w:hanging="720"/>
        <w:rPr>
          <w:sz w:val="22"/>
          <w:szCs w:val="22"/>
          <w:lang w:eastAsia="zh-CN"/>
        </w:rPr>
      </w:pPr>
      <w:r w:rsidRPr="008C36E2">
        <w:rPr>
          <w:sz w:val="22"/>
          <w:szCs w:val="22"/>
          <w:lang w:eastAsia="zh-CN"/>
        </w:rPr>
        <w:t>(i)</w:t>
      </w:r>
      <w:r w:rsidRPr="008C36E2">
        <w:rPr>
          <w:sz w:val="22"/>
          <w:szCs w:val="22"/>
          <w:lang w:eastAsia="zh-CN"/>
        </w:rPr>
        <w:tab/>
        <w:t xml:space="preserve">if a CPP Event of Default occurs with respect to Party A, as the Direct Party under this </w:t>
      </w:r>
      <w:r>
        <w:rPr>
          <w:sz w:val="22"/>
          <w:szCs w:val="22"/>
          <w:lang w:eastAsia="zh-CN"/>
        </w:rPr>
        <w:t>Contract</w:t>
      </w:r>
      <w:r w:rsidRPr="008C36E2">
        <w:rPr>
          <w:sz w:val="22"/>
          <w:szCs w:val="22"/>
          <w:lang w:eastAsia="zh-CN"/>
        </w:rPr>
        <w:t xml:space="preserve"> as the Covered Direct QFC, or the </w:t>
      </w:r>
      <w:r>
        <w:rPr>
          <w:sz w:val="22"/>
          <w:szCs w:val="22"/>
          <w:lang w:eastAsia="zh-CN"/>
        </w:rPr>
        <w:t xml:space="preserve">Guarantor of Party A’s obligations under this Contract, as the applicable Covered Affiliate </w:t>
      </w:r>
      <w:r w:rsidRPr="008C36E2">
        <w:rPr>
          <w:sz w:val="22"/>
          <w:szCs w:val="22"/>
          <w:lang w:eastAsia="zh-CN"/>
        </w:rPr>
        <w:t>Support</w:t>
      </w:r>
      <w:r>
        <w:rPr>
          <w:sz w:val="22"/>
          <w:szCs w:val="22"/>
          <w:lang w:eastAsia="zh-CN"/>
        </w:rPr>
        <w:t xml:space="preserve"> Provider,</w:t>
      </w:r>
      <w:r w:rsidRPr="008C36E2">
        <w:rPr>
          <w:sz w:val="22"/>
          <w:szCs w:val="22"/>
          <w:lang w:eastAsia="zh-CN"/>
        </w:rPr>
        <w:t xml:space="preserve"> or a Transferee, as applicable under such CPP Event of Default; and</w:t>
      </w:r>
    </w:p>
    <w:p w:rsidR="008C36E2" w:rsidRPr="008C36E2" w:rsidRDefault="008C36E2" w:rsidP="008C36E2">
      <w:pPr>
        <w:ind w:left="2160" w:hanging="720"/>
        <w:rPr>
          <w:sz w:val="22"/>
          <w:szCs w:val="22"/>
          <w:lang w:eastAsia="zh-CN"/>
        </w:rPr>
      </w:pPr>
    </w:p>
    <w:p w:rsidR="008C36E2" w:rsidRPr="008C36E2" w:rsidRDefault="001B288C" w:rsidP="008C36E2">
      <w:pPr>
        <w:ind w:left="2160" w:hanging="720"/>
        <w:rPr>
          <w:sz w:val="22"/>
          <w:szCs w:val="22"/>
          <w:lang w:eastAsia="zh-CN"/>
        </w:rPr>
      </w:pPr>
      <w:r w:rsidRPr="008C36E2">
        <w:rPr>
          <w:sz w:val="22"/>
          <w:szCs w:val="22"/>
          <w:lang w:eastAsia="zh-CN"/>
        </w:rPr>
        <w:t>(ii)</w:t>
      </w:r>
      <w:r w:rsidRPr="008C36E2">
        <w:rPr>
          <w:sz w:val="22"/>
          <w:szCs w:val="22"/>
          <w:lang w:eastAsia="zh-CN"/>
        </w:rPr>
        <w:tab/>
        <w:t>if the Corresponding Event of Default designated</w:t>
      </w:r>
      <w:r w:rsidR="009B329C">
        <w:rPr>
          <w:sz w:val="22"/>
          <w:szCs w:val="22"/>
          <w:lang w:eastAsia="zh-CN"/>
        </w:rPr>
        <w:t xml:space="preserve"> with respect to such CPP Event</w:t>
      </w:r>
      <w:r w:rsidRPr="008C36E2">
        <w:rPr>
          <w:sz w:val="22"/>
          <w:szCs w:val="22"/>
          <w:lang w:eastAsia="zh-CN"/>
        </w:rPr>
        <w:t xml:space="preserve"> of Default, as shown below, is in effect under this </w:t>
      </w:r>
      <w:r w:rsidR="002F2A0D">
        <w:rPr>
          <w:sz w:val="22"/>
          <w:szCs w:val="22"/>
          <w:lang w:eastAsia="zh-CN"/>
        </w:rPr>
        <w:t>Contract</w:t>
      </w:r>
      <w:r w:rsidRPr="008C36E2">
        <w:rPr>
          <w:sz w:val="22"/>
          <w:szCs w:val="22"/>
          <w:lang w:eastAsia="zh-CN"/>
        </w:rPr>
        <w:t xml:space="preserve"> and has not been otherwise contractually </w:t>
      </w:r>
      <w:r w:rsidR="004A4135">
        <w:rPr>
          <w:sz w:val="22"/>
          <w:szCs w:val="22"/>
          <w:lang w:eastAsia="zh-CN"/>
        </w:rPr>
        <w:t>removed</w:t>
      </w:r>
      <w:r w:rsidRPr="008C36E2">
        <w:rPr>
          <w:sz w:val="22"/>
          <w:szCs w:val="22"/>
          <w:lang w:eastAsia="zh-CN"/>
        </w:rPr>
        <w:t xml:space="preserve"> by a written agreement of the parties to this </w:t>
      </w:r>
      <w:r w:rsidR="002F2A0D">
        <w:rPr>
          <w:sz w:val="22"/>
          <w:szCs w:val="22"/>
          <w:lang w:eastAsia="zh-CN"/>
        </w:rPr>
        <w:t>Contract</w:t>
      </w:r>
      <w:r w:rsidR="004A4135">
        <w:rPr>
          <w:sz w:val="22"/>
          <w:szCs w:val="22"/>
          <w:lang w:eastAsia="zh-CN"/>
        </w:rPr>
        <w:t>, as the Covered Direct QFC;</w:t>
      </w:r>
      <w:r w:rsidRPr="008C36E2">
        <w:rPr>
          <w:sz w:val="22"/>
          <w:szCs w:val="22"/>
          <w:lang w:eastAsia="zh-CN"/>
        </w:rPr>
        <w:t xml:space="preserve"> then </w:t>
      </w:r>
    </w:p>
    <w:p w:rsidR="008C36E2" w:rsidRPr="008C36E2" w:rsidRDefault="008C36E2" w:rsidP="008C36E2">
      <w:pPr>
        <w:ind w:left="2160" w:hanging="720"/>
        <w:rPr>
          <w:sz w:val="22"/>
          <w:szCs w:val="22"/>
          <w:lang w:eastAsia="zh-CN"/>
        </w:rPr>
      </w:pPr>
    </w:p>
    <w:p w:rsidR="008C36E2" w:rsidRDefault="001B288C" w:rsidP="008C36E2">
      <w:pPr>
        <w:ind w:left="2160" w:hanging="720"/>
        <w:rPr>
          <w:sz w:val="22"/>
          <w:szCs w:val="22"/>
          <w:lang w:eastAsia="zh-CN"/>
        </w:rPr>
      </w:pPr>
      <w:r w:rsidRPr="008C36E2">
        <w:rPr>
          <w:sz w:val="22"/>
          <w:szCs w:val="22"/>
          <w:lang w:eastAsia="zh-CN"/>
        </w:rPr>
        <w:t>(iii)</w:t>
      </w:r>
      <w:r w:rsidRPr="008C36E2">
        <w:rPr>
          <w:sz w:val="22"/>
          <w:szCs w:val="22"/>
          <w:lang w:eastAsia="zh-CN"/>
        </w:rPr>
        <w:tab/>
        <w:t>such C</w:t>
      </w:r>
      <w:r w:rsidR="00E439CC">
        <w:rPr>
          <w:sz w:val="22"/>
          <w:szCs w:val="22"/>
          <w:lang w:eastAsia="zh-CN"/>
        </w:rPr>
        <w:t>PP Event of Default will be an Event of D</w:t>
      </w:r>
      <w:r w:rsidRPr="008C36E2">
        <w:rPr>
          <w:sz w:val="22"/>
          <w:szCs w:val="22"/>
          <w:lang w:eastAsia="zh-CN"/>
        </w:rPr>
        <w:t xml:space="preserve">efault under this </w:t>
      </w:r>
      <w:r w:rsidR="002F2A0D">
        <w:rPr>
          <w:sz w:val="22"/>
          <w:szCs w:val="22"/>
          <w:lang w:eastAsia="zh-CN"/>
        </w:rPr>
        <w:t>Contract</w:t>
      </w:r>
      <w:r w:rsidRPr="008C36E2">
        <w:rPr>
          <w:sz w:val="22"/>
          <w:szCs w:val="22"/>
          <w:lang w:eastAsia="zh-CN"/>
        </w:rPr>
        <w:t>, as the Covered Direct QFC, with respect to Party A, as the Direct Party under such Covered Direct QFC, and Party B, as the Counterparty Entity, may exercise Default Rights in accordance with applicable law and in accordance</w:t>
      </w:r>
      <w:r w:rsidRPr="008C36E2">
        <w:rPr>
          <w:sz w:val="22"/>
          <w:szCs w:val="22"/>
          <w:lang w:eastAsia="zh-CN"/>
        </w:rPr>
        <w:t xml:space="preserve"> with the notice and gra</w:t>
      </w:r>
      <w:r w:rsidR="004B0EE3">
        <w:rPr>
          <w:sz w:val="22"/>
          <w:szCs w:val="22"/>
          <w:lang w:eastAsia="zh-CN"/>
        </w:rPr>
        <w:t xml:space="preserve">ce periods, if any, specified </w:t>
      </w:r>
      <w:r w:rsidR="004A4135">
        <w:rPr>
          <w:sz w:val="22"/>
          <w:szCs w:val="22"/>
          <w:lang w:eastAsia="zh-CN"/>
        </w:rPr>
        <w:t xml:space="preserve">in this Contract </w:t>
      </w:r>
      <w:r w:rsidR="004B0EE3">
        <w:rPr>
          <w:sz w:val="22"/>
          <w:szCs w:val="22"/>
          <w:lang w:eastAsia="zh-CN"/>
        </w:rPr>
        <w:t xml:space="preserve">as </w:t>
      </w:r>
      <w:r w:rsidR="004A4135">
        <w:rPr>
          <w:sz w:val="22"/>
          <w:szCs w:val="22"/>
          <w:lang w:eastAsia="zh-CN"/>
        </w:rPr>
        <w:t xml:space="preserve">applicable </w:t>
      </w:r>
      <w:r w:rsidR="004B0EE3">
        <w:rPr>
          <w:sz w:val="22"/>
          <w:szCs w:val="22"/>
          <w:lang w:eastAsia="zh-CN"/>
        </w:rPr>
        <w:t>to</w:t>
      </w:r>
      <w:r w:rsidRPr="008C36E2">
        <w:rPr>
          <w:sz w:val="22"/>
          <w:szCs w:val="22"/>
          <w:lang w:eastAsia="zh-CN"/>
        </w:rPr>
        <w:t xml:space="preserve"> the </w:t>
      </w:r>
      <w:r w:rsidR="004A4135">
        <w:rPr>
          <w:sz w:val="22"/>
          <w:szCs w:val="22"/>
          <w:lang w:eastAsia="zh-CN"/>
        </w:rPr>
        <w:t xml:space="preserve">specific </w:t>
      </w:r>
      <w:r w:rsidR="004A4135">
        <w:rPr>
          <w:rFonts w:eastAsia="Calibri" w:cs="Arial"/>
          <w:sz w:val="22"/>
          <w:szCs w:val="22"/>
          <w:lang w:eastAsia="zh-CN" w:bidi="he-IL"/>
        </w:rPr>
        <w:t>Event of Default that is</w:t>
      </w:r>
      <w:r w:rsidR="004A4135" w:rsidRPr="004A4135">
        <w:rPr>
          <w:rFonts w:eastAsia="Calibri" w:cs="Arial"/>
          <w:sz w:val="22"/>
          <w:szCs w:val="22"/>
          <w:lang w:eastAsia="zh-CN" w:bidi="he-IL"/>
        </w:rPr>
        <w:t xml:space="preserve"> specified as a component of the Corresponding Event of Default designated </w:t>
      </w:r>
      <w:r w:rsidR="004A4135">
        <w:rPr>
          <w:rFonts w:eastAsia="Calibri" w:cs="Arial"/>
          <w:sz w:val="22"/>
          <w:szCs w:val="22"/>
          <w:lang w:eastAsia="zh-CN" w:bidi="he-IL"/>
        </w:rPr>
        <w:t xml:space="preserve">below </w:t>
      </w:r>
      <w:r w:rsidR="004A4135" w:rsidRPr="004A4135">
        <w:rPr>
          <w:rFonts w:eastAsia="Calibri" w:cs="Arial"/>
          <w:sz w:val="22"/>
          <w:szCs w:val="22"/>
          <w:lang w:eastAsia="zh-CN" w:bidi="he-IL"/>
        </w:rPr>
        <w:t>fo</w:t>
      </w:r>
      <w:r w:rsidR="004A4135">
        <w:rPr>
          <w:rFonts w:eastAsia="Calibri" w:cs="Arial"/>
          <w:sz w:val="22"/>
          <w:szCs w:val="22"/>
          <w:lang w:eastAsia="zh-CN" w:bidi="he-IL"/>
        </w:rPr>
        <w:t>r such CPP Event of Default</w:t>
      </w:r>
      <w:r w:rsidRPr="008C36E2">
        <w:rPr>
          <w:sz w:val="22"/>
          <w:szCs w:val="22"/>
          <w:lang w:eastAsia="zh-CN"/>
        </w:rPr>
        <w:t>.</w:t>
      </w:r>
    </w:p>
    <w:p w:rsidR="002F2A0D" w:rsidRPr="008C36E2" w:rsidRDefault="002F2A0D" w:rsidP="008C36E2">
      <w:pPr>
        <w:ind w:left="2160" w:hanging="720"/>
        <w:rPr>
          <w:sz w:val="22"/>
          <w:szCs w:val="22"/>
          <w:lang w:eastAsia="zh-CN"/>
        </w:rPr>
      </w:pPr>
    </w:p>
    <w:p w:rsidR="00796418" w:rsidRDefault="001B288C" w:rsidP="0094179D">
      <w:pPr>
        <w:ind w:left="1440" w:hanging="720"/>
        <w:rPr>
          <w:sz w:val="22"/>
          <w:szCs w:val="22"/>
          <w:lang w:eastAsia="zh-CN"/>
        </w:rPr>
      </w:pPr>
      <w:r>
        <w:rPr>
          <w:sz w:val="22"/>
          <w:szCs w:val="22"/>
          <w:lang w:eastAsia="zh-CN"/>
        </w:rPr>
        <w:t>(</w:t>
      </w:r>
      <w:r w:rsidR="004B0EE3">
        <w:rPr>
          <w:sz w:val="22"/>
          <w:szCs w:val="22"/>
          <w:lang w:eastAsia="zh-CN"/>
        </w:rPr>
        <w:t>d</w:t>
      </w:r>
      <w:r w:rsidR="0094179D">
        <w:rPr>
          <w:sz w:val="22"/>
          <w:szCs w:val="22"/>
          <w:lang w:eastAsia="zh-CN"/>
        </w:rPr>
        <w:t>)</w:t>
      </w:r>
      <w:r w:rsidR="0094179D">
        <w:rPr>
          <w:sz w:val="22"/>
          <w:szCs w:val="22"/>
          <w:lang w:eastAsia="zh-CN"/>
        </w:rPr>
        <w:tab/>
      </w:r>
      <w:r w:rsidRPr="00796418">
        <w:rPr>
          <w:sz w:val="22"/>
          <w:szCs w:val="22"/>
          <w:lang w:eastAsia="zh-CN"/>
        </w:rPr>
        <w:t xml:space="preserve">Any </w:t>
      </w:r>
      <w:r w:rsidR="004A4135" w:rsidRPr="004A4135">
        <w:rPr>
          <w:rFonts w:eastAsia="Calibri" w:cs="Arial"/>
          <w:sz w:val="22"/>
          <w:szCs w:val="22"/>
          <w:lang w:bidi="he-IL"/>
        </w:rPr>
        <w:t xml:space="preserve">requisite notice or grace period applicable to an exercise of Default Rights arising upon the occurrence of </w:t>
      </w:r>
      <w:r w:rsidR="004A4135" w:rsidRPr="004A4135">
        <w:rPr>
          <w:rFonts w:eastAsia="Calibri" w:cs="Arial"/>
          <w:sz w:val="22"/>
          <w:szCs w:val="22"/>
          <w:lang w:eastAsia="zh-CN" w:bidi="he-IL"/>
        </w:rPr>
        <w:t>the specific Event of Default that is specified as a component of the Corresponding Event of Default designated below for such CPP Event of Default</w:t>
      </w:r>
      <w:r w:rsidR="004A4135" w:rsidRPr="004A4135">
        <w:rPr>
          <w:rFonts w:eastAsia="Calibri" w:cs="Arial"/>
          <w:sz w:val="22"/>
          <w:szCs w:val="22"/>
          <w:lang w:bidi="he-IL"/>
        </w:rPr>
        <w:t xml:space="preserve">, as provided in the provisions of this </w:t>
      </w:r>
      <w:r w:rsidR="004A4135">
        <w:rPr>
          <w:rFonts w:eastAsia="Calibri" w:cs="Arial"/>
          <w:sz w:val="22"/>
          <w:szCs w:val="22"/>
          <w:lang w:bidi="he-IL"/>
        </w:rPr>
        <w:t>Contract</w:t>
      </w:r>
      <w:r w:rsidR="004A4135" w:rsidRPr="004A4135">
        <w:rPr>
          <w:rFonts w:eastAsia="Calibri" w:cs="Arial"/>
          <w:sz w:val="22"/>
          <w:szCs w:val="22"/>
          <w:lang w:bidi="he-IL"/>
        </w:rPr>
        <w:t xml:space="preserve"> applicable to such Event of Default, shall also be applicable to any exercise of Default Rights arising upon the occurrence of the CPP Event of Default to which such Corresponding Event of Default is designated below </w:t>
      </w:r>
      <w:r w:rsidRPr="00796418">
        <w:rPr>
          <w:sz w:val="22"/>
          <w:szCs w:val="22"/>
          <w:lang w:eastAsia="zh-CN"/>
        </w:rPr>
        <w:t xml:space="preserve">in this </w:t>
      </w:r>
      <w:r w:rsidR="002B492C">
        <w:rPr>
          <w:sz w:val="22"/>
          <w:szCs w:val="22"/>
          <w:lang w:eastAsia="zh-CN"/>
        </w:rPr>
        <w:t>Section 15.</w:t>
      </w:r>
      <w:r w:rsidRPr="00796418">
        <w:rPr>
          <w:sz w:val="22"/>
          <w:szCs w:val="22"/>
          <w:lang w:eastAsia="zh-CN"/>
        </w:rPr>
        <w:t>[</w:t>
      </w:r>
      <w:r w:rsidR="002B492C">
        <w:rPr>
          <w:sz w:val="22"/>
          <w:szCs w:val="22"/>
          <w:lang w:eastAsia="zh-CN"/>
        </w:rPr>
        <w:t>13</w:t>
      </w:r>
      <w:r w:rsidRPr="00796418">
        <w:rPr>
          <w:sz w:val="22"/>
          <w:szCs w:val="22"/>
          <w:lang w:eastAsia="zh-CN"/>
        </w:rPr>
        <w:t>]</w:t>
      </w:r>
      <w:r w:rsidR="002B492C">
        <w:rPr>
          <w:sz w:val="22"/>
          <w:szCs w:val="22"/>
          <w:lang w:eastAsia="zh-CN"/>
        </w:rPr>
        <w:t>.4</w:t>
      </w:r>
      <w:r w:rsidRPr="00796418">
        <w:rPr>
          <w:sz w:val="22"/>
          <w:szCs w:val="22"/>
          <w:lang w:eastAsia="zh-CN"/>
        </w:rPr>
        <w:t>.</w:t>
      </w:r>
      <w:r>
        <w:rPr>
          <w:sz w:val="22"/>
          <w:szCs w:val="22"/>
          <w:vertAlign w:val="superscript"/>
          <w:lang w:eastAsia="zh-CN"/>
        </w:rPr>
        <w:footnoteReference w:id="4"/>
      </w:r>
      <w:bookmarkEnd w:id="2"/>
    </w:p>
    <w:p w:rsidR="002B590A" w:rsidRDefault="002B590A" w:rsidP="0094179D">
      <w:pPr>
        <w:ind w:left="720"/>
        <w:rPr>
          <w:sz w:val="22"/>
          <w:szCs w:val="22"/>
          <w:lang w:eastAsia="zh-CN"/>
        </w:rPr>
      </w:pPr>
    </w:p>
    <w:p w:rsidR="00817F9B" w:rsidRDefault="001B288C" w:rsidP="00817F9B">
      <w:pPr>
        <w:ind w:left="1440" w:hanging="720"/>
        <w:rPr>
          <w:sz w:val="22"/>
          <w:szCs w:val="22"/>
          <w:lang w:eastAsia="zh-CN"/>
        </w:rPr>
      </w:pPr>
      <w:r>
        <w:rPr>
          <w:sz w:val="22"/>
          <w:szCs w:val="22"/>
          <w:lang w:eastAsia="zh-CN"/>
        </w:rPr>
        <w:t>(</w:t>
      </w:r>
      <w:r w:rsidR="004B0EE3">
        <w:rPr>
          <w:sz w:val="22"/>
          <w:szCs w:val="22"/>
          <w:lang w:eastAsia="zh-CN"/>
        </w:rPr>
        <w:t>e</w:t>
      </w:r>
      <w:r w:rsidR="0094179D">
        <w:rPr>
          <w:sz w:val="22"/>
          <w:szCs w:val="22"/>
          <w:lang w:eastAsia="zh-CN"/>
        </w:rPr>
        <w:t>)</w:t>
      </w:r>
      <w:r w:rsidR="0094179D">
        <w:rPr>
          <w:sz w:val="22"/>
          <w:szCs w:val="22"/>
          <w:lang w:eastAsia="zh-CN"/>
        </w:rPr>
        <w:tab/>
      </w:r>
      <w:r w:rsidR="002B590A" w:rsidRPr="002B590A">
        <w:rPr>
          <w:sz w:val="22"/>
          <w:szCs w:val="22"/>
          <w:lang w:eastAsia="zh-CN"/>
        </w:rPr>
        <w:t xml:space="preserve">The requirements of </w:t>
      </w:r>
      <w:r w:rsidR="002B590A">
        <w:rPr>
          <w:sz w:val="22"/>
          <w:szCs w:val="22"/>
          <w:lang w:eastAsia="zh-CN"/>
        </w:rPr>
        <w:t>Section 15.[13].1</w:t>
      </w:r>
      <w:r w:rsidR="002F4E1D">
        <w:rPr>
          <w:sz w:val="22"/>
          <w:szCs w:val="22"/>
          <w:lang w:eastAsia="zh-CN"/>
        </w:rPr>
        <w:t>,</w:t>
      </w:r>
      <w:r w:rsidR="002F4E1D" w:rsidRPr="002F4E1D">
        <w:rPr>
          <w:rFonts w:eastAsia="Calibri" w:cs="Arial"/>
          <w:sz w:val="22"/>
          <w:szCs w:val="22"/>
          <w:lang w:bidi="he-IL"/>
        </w:rPr>
        <w:t xml:space="preserve"> Recognition of the U.S. Special Resolution Regimes,</w:t>
      </w:r>
      <w:r w:rsidR="002B590A" w:rsidRPr="002B590A">
        <w:rPr>
          <w:sz w:val="22"/>
          <w:szCs w:val="22"/>
          <w:lang w:eastAsia="zh-CN"/>
        </w:rPr>
        <w:t xml:space="preserve"> [or, if the alternate provisions for </w:t>
      </w:r>
      <w:r w:rsidR="002B590A">
        <w:rPr>
          <w:sz w:val="22"/>
          <w:szCs w:val="22"/>
          <w:lang w:eastAsia="zh-CN"/>
        </w:rPr>
        <w:t>Sections 15.[13].1, 15.[13].2 and 15.[13].3</w:t>
      </w:r>
      <w:r w:rsidR="002B590A" w:rsidRPr="002B590A">
        <w:rPr>
          <w:sz w:val="22"/>
          <w:szCs w:val="22"/>
          <w:lang w:eastAsia="zh-CN"/>
        </w:rPr>
        <w:t xml:space="preserve"> are elected by the parties, then, as applicable, the requirements of </w:t>
      </w:r>
      <w:r w:rsidR="00F54765">
        <w:rPr>
          <w:sz w:val="22"/>
          <w:szCs w:val="22"/>
          <w:lang w:eastAsia="zh-CN"/>
        </w:rPr>
        <w:t>Section 1(b)</w:t>
      </w:r>
      <w:r w:rsidR="004858D6">
        <w:rPr>
          <w:sz w:val="22"/>
          <w:szCs w:val="22"/>
          <w:lang w:eastAsia="zh-CN"/>
        </w:rPr>
        <w:t>(i), Counterparty in Resolution,</w:t>
      </w:r>
      <w:r w:rsidR="00F54765">
        <w:rPr>
          <w:sz w:val="22"/>
          <w:szCs w:val="22"/>
          <w:lang w:eastAsia="zh-CN"/>
        </w:rPr>
        <w:t xml:space="preserve"> of the Attachment to </w:t>
      </w:r>
      <w:r w:rsidR="002B590A" w:rsidRPr="002B590A">
        <w:rPr>
          <w:sz w:val="22"/>
          <w:szCs w:val="22"/>
          <w:lang w:eastAsia="zh-CN"/>
        </w:rPr>
        <w:t>the ISDA Protocol</w:t>
      </w:r>
      <w:r w:rsidR="00F54765">
        <w:rPr>
          <w:sz w:val="22"/>
          <w:szCs w:val="22"/>
          <w:lang w:eastAsia="zh-CN"/>
        </w:rPr>
        <w:t xml:space="preserve"> (but solely with respect to the U.S. Special Resolution Regime – FDIA and the U.S. Special Resolution Regime – OLA)</w:t>
      </w:r>
      <w:r w:rsidR="002B590A" w:rsidRPr="002B590A">
        <w:rPr>
          <w:sz w:val="22"/>
          <w:szCs w:val="22"/>
          <w:lang w:eastAsia="zh-CN"/>
        </w:rPr>
        <w:t>, Section 1</w:t>
      </w:r>
      <w:r w:rsidR="00D92F73">
        <w:rPr>
          <w:sz w:val="22"/>
          <w:szCs w:val="22"/>
          <w:lang w:eastAsia="zh-CN"/>
        </w:rPr>
        <w:t>.1, Recognition of U.S. Special Resolution Regimes,</w:t>
      </w:r>
      <w:r w:rsidR="002B590A" w:rsidRPr="002B590A">
        <w:rPr>
          <w:sz w:val="22"/>
          <w:szCs w:val="22"/>
          <w:lang w:eastAsia="zh-CN"/>
        </w:rPr>
        <w:t xml:space="preserve"> of the ISDA Bilateral Amendment</w:t>
      </w:r>
      <w:r w:rsidR="002B590A">
        <w:rPr>
          <w:sz w:val="22"/>
          <w:szCs w:val="22"/>
          <w:lang w:eastAsia="zh-CN"/>
        </w:rPr>
        <w:t>,</w:t>
      </w:r>
      <w:r w:rsidR="002B590A" w:rsidRPr="002B590A">
        <w:rPr>
          <w:sz w:val="22"/>
          <w:szCs w:val="22"/>
          <w:lang w:eastAsia="zh-CN"/>
        </w:rPr>
        <w:t xml:space="preserve"> or Section 1</w:t>
      </w:r>
      <w:r w:rsidR="00D92F73">
        <w:rPr>
          <w:sz w:val="22"/>
          <w:szCs w:val="22"/>
          <w:lang w:eastAsia="zh-CN"/>
        </w:rPr>
        <w:t xml:space="preserve">.1, Recognition of U.S. Special Resolution </w:t>
      </w:r>
      <w:r w:rsidR="00D92F73">
        <w:rPr>
          <w:sz w:val="22"/>
          <w:szCs w:val="22"/>
          <w:lang w:eastAsia="zh-CN"/>
        </w:rPr>
        <w:lastRenderedPageBreak/>
        <w:t>Regimes,</w:t>
      </w:r>
      <w:r w:rsidR="002B590A" w:rsidRPr="002B590A">
        <w:rPr>
          <w:sz w:val="22"/>
          <w:szCs w:val="22"/>
          <w:lang w:eastAsia="zh-CN"/>
        </w:rPr>
        <w:t xml:space="preserve"> of the IECA Bilateral Amendment] apply notwithstanding this </w:t>
      </w:r>
      <w:r w:rsidR="002B590A">
        <w:rPr>
          <w:sz w:val="22"/>
          <w:szCs w:val="22"/>
          <w:lang w:eastAsia="zh-CN"/>
        </w:rPr>
        <w:t>Section 15.[13].4</w:t>
      </w:r>
      <w:r w:rsidR="002B590A" w:rsidRPr="002B590A">
        <w:rPr>
          <w:sz w:val="22"/>
          <w:szCs w:val="22"/>
          <w:lang w:eastAsia="zh-CN"/>
        </w:rPr>
        <w:t>.</w:t>
      </w:r>
    </w:p>
    <w:p w:rsidR="00315B4B" w:rsidRDefault="00315B4B" w:rsidP="00315B4B">
      <w:pPr>
        <w:ind w:left="1440" w:hanging="720"/>
        <w:rPr>
          <w:rFonts w:eastAsia="Calibri" w:cs="Arial"/>
          <w:sz w:val="22"/>
          <w:szCs w:val="22"/>
          <w:lang w:bidi="he-IL"/>
        </w:rPr>
      </w:pPr>
    </w:p>
    <w:p w:rsidR="00315B4B" w:rsidRPr="00FE7C8B" w:rsidRDefault="001B288C" w:rsidP="00315B4B">
      <w:pPr>
        <w:ind w:left="1440" w:hanging="720"/>
        <w:rPr>
          <w:rFonts w:eastAsia="Calibri" w:cs="Arial"/>
          <w:sz w:val="22"/>
          <w:szCs w:val="22"/>
          <w:lang w:bidi="he-IL"/>
        </w:rPr>
      </w:pPr>
      <w:r>
        <w:rPr>
          <w:rFonts w:eastAsia="Calibri" w:cs="Arial"/>
          <w:sz w:val="22"/>
          <w:szCs w:val="22"/>
          <w:lang w:bidi="he-IL"/>
        </w:rPr>
        <w:t>(f)</w:t>
      </w:r>
      <w:r>
        <w:rPr>
          <w:rFonts w:eastAsia="Calibri" w:cs="Arial"/>
          <w:sz w:val="22"/>
          <w:szCs w:val="22"/>
          <w:lang w:bidi="he-IL"/>
        </w:rPr>
        <w:tab/>
        <w:t>The provisions of this</w:t>
      </w:r>
      <w:r w:rsidRPr="00D84809">
        <w:rPr>
          <w:rFonts w:eastAsia="Calibri" w:cs="Arial"/>
          <w:sz w:val="22"/>
          <w:szCs w:val="22"/>
          <w:lang w:bidi="he-IL"/>
        </w:rPr>
        <w:t xml:space="preserve"> </w:t>
      </w:r>
      <w:r>
        <w:rPr>
          <w:rFonts w:eastAsia="Calibri" w:cs="Arial"/>
          <w:sz w:val="22"/>
          <w:szCs w:val="22"/>
          <w:lang w:bidi="he-IL"/>
        </w:rPr>
        <w:t>Section 15.[13].4(f) are</w:t>
      </w:r>
      <w:r w:rsidRPr="00D84809">
        <w:rPr>
          <w:rFonts w:eastAsia="Calibri" w:cs="Arial"/>
          <w:sz w:val="22"/>
          <w:szCs w:val="22"/>
          <w:lang w:bidi="he-IL"/>
        </w:rPr>
        <w:t xml:space="preserve"> without limitation of the generality of the Burden of Proof provisions in </w:t>
      </w:r>
      <w:r>
        <w:rPr>
          <w:rFonts w:eastAsia="Calibri" w:cs="Arial"/>
          <w:sz w:val="22"/>
          <w:szCs w:val="22"/>
          <w:lang w:bidi="he-IL"/>
        </w:rPr>
        <w:t>Section 15.[13].2(c)</w:t>
      </w:r>
      <w:r w:rsidRPr="002718EC">
        <w:rPr>
          <w:rFonts w:eastAsia="Calibri" w:cs="Arial"/>
          <w:sz w:val="22"/>
          <w:szCs w:val="22"/>
          <w:lang w:bidi="he-IL"/>
        </w:rPr>
        <w:t xml:space="preserve"> [or, if the alternate provisions for </w:t>
      </w:r>
      <w:r>
        <w:rPr>
          <w:rFonts w:eastAsia="Calibri" w:cs="Arial"/>
          <w:sz w:val="22"/>
          <w:szCs w:val="22"/>
          <w:lang w:bidi="he-IL"/>
        </w:rPr>
        <w:t>Sections 15.[13].1, 15.[13].2 and 15.[13].3</w:t>
      </w:r>
      <w:r w:rsidRPr="002718EC">
        <w:rPr>
          <w:rFonts w:eastAsia="Calibri" w:cs="Arial"/>
          <w:sz w:val="22"/>
          <w:szCs w:val="22"/>
          <w:lang w:bidi="he-IL"/>
        </w:rPr>
        <w:t xml:space="preserve"> are elected by the parties, the</w:t>
      </w:r>
      <w:r w:rsidRPr="002718EC">
        <w:rPr>
          <w:rFonts w:eastAsia="Calibri" w:cs="Arial"/>
          <w:sz w:val="22"/>
          <w:szCs w:val="22"/>
          <w:lang w:bidi="he-IL"/>
        </w:rPr>
        <w:t xml:space="preserve">n, as applicable, the requirements of Section </w:t>
      </w:r>
      <w:r>
        <w:rPr>
          <w:rFonts w:eastAsia="Calibri" w:cs="Arial"/>
          <w:sz w:val="22"/>
          <w:szCs w:val="22"/>
          <w:lang w:bidi="he-IL"/>
        </w:rPr>
        <w:t>2</w:t>
      </w:r>
      <w:r w:rsidRPr="002718EC">
        <w:rPr>
          <w:rFonts w:eastAsia="Calibri" w:cs="Arial"/>
          <w:sz w:val="22"/>
          <w:szCs w:val="22"/>
          <w:lang w:bidi="he-IL"/>
        </w:rPr>
        <w:t>(</w:t>
      </w:r>
      <w:r>
        <w:rPr>
          <w:rFonts w:eastAsia="Calibri" w:cs="Arial"/>
          <w:sz w:val="22"/>
          <w:szCs w:val="22"/>
          <w:lang w:bidi="he-IL"/>
        </w:rPr>
        <w:t>j</w:t>
      </w:r>
      <w:r w:rsidRPr="002718EC">
        <w:rPr>
          <w:rFonts w:eastAsia="Calibri" w:cs="Arial"/>
          <w:sz w:val="22"/>
          <w:szCs w:val="22"/>
          <w:lang w:bidi="he-IL"/>
        </w:rPr>
        <w:t xml:space="preserve">), </w:t>
      </w:r>
      <w:r>
        <w:rPr>
          <w:rFonts w:eastAsia="Calibri" w:cs="Arial"/>
          <w:sz w:val="22"/>
          <w:szCs w:val="22"/>
          <w:lang w:bidi="he-IL"/>
        </w:rPr>
        <w:t>Burden of Proof</w:t>
      </w:r>
      <w:r w:rsidRPr="002718EC">
        <w:rPr>
          <w:rFonts w:eastAsia="Calibri" w:cs="Arial"/>
          <w:sz w:val="22"/>
          <w:szCs w:val="22"/>
          <w:lang w:bidi="he-IL"/>
        </w:rPr>
        <w:t xml:space="preserve">, of the Attachment to the ISDA Protocol (but solely with respect to the U.S. Special Resolution Regime – FDIA and the U.S. Special Resolution Regime – OLA), Section </w:t>
      </w:r>
      <w:r>
        <w:rPr>
          <w:rFonts w:eastAsia="Calibri" w:cs="Arial"/>
          <w:sz w:val="22"/>
          <w:szCs w:val="22"/>
          <w:lang w:bidi="he-IL"/>
        </w:rPr>
        <w:t>2.6, Burden of Proof</w:t>
      </w:r>
      <w:r w:rsidRPr="002718EC">
        <w:rPr>
          <w:rFonts w:eastAsia="Calibri" w:cs="Arial"/>
          <w:sz w:val="22"/>
          <w:szCs w:val="22"/>
          <w:lang w:bidi="he-IL"/>
        </w:rPr>
        <w:t>, o</w:t>
      </w:r>
      <w:r w:rsidRPr="002718EC">
        <w:rPr>
          <w:rFonts w:eastAsia="Calibri" w:cs="Arial"/>
          <w:sz w:val="22"/>
          <w:szCs w:val="22"/>
          <w:lang w:bidi="he-IL"/>
        </w:rPr>
        <w:t xml:space="preserve">f the ISDA Bilateral Amendment, or Section </w:t>
      </w:r>
      <w:r>
        <w:rPr>
          <w:rFonts w:eastAsia="Calibri" w:cs="Arial"/>
          <w:sz w:val="22"/>
          <w:szCs w:val="22"/>
          <w:lang w:bidi="he-IL"/>
        </w:rPr>
        <w:t>2.6</w:t>
      </w:r>
      <w:r w:rsidRPr="002718EC">
        <w:rPr>
          <w:rFonts w:eastAsia="Calibri" w:cs="Arial"/>
          <w:sz w:val="22"/>
          <w:szCs w:val="22"/>
          <w:lang w:bidi="he-IL"/>
        </w:rPr>
        <w:t xml:space="preserve">, </w:t>
      </w:r>
      <w:r>
        <w:rPr>
          <w:rFonts w:eastAsia="Calibri" w:cs="Arial"/>
          <w:sz w:val="22"/>
          <w:szCs w:val="22"/>
          <w:lang w:bidi="he-IL"/>
        </w:rPr>
        <w:t>Burden of Proof</w:t>
      </w:r>
      <w:r w:rsidRPr="002718EC">
        <w:rPr>
          <w:rFonts w:eastAsia="Calibri" w:cs="Arial"/>
          <w:sz w:val="22"/>
          <w:szCs w:val="22"/>
          <w:lang w:bidi="he-IL"/>
        </w:rPr>
        <w:t>, of the IECA Bilateral Amendment]</w:t>
      </w:r>
      <w:r>
        <w:rPr>
          <w:rFonts w:eastAsia="Calibri" w:cs="Arial"/>
          <w:sz w:val="22"/>
          <w:szCs w:val="22"/>
          <w:lang w:bidi="he-IL"/>
        </w:rPr>
        <w:t>.</w:t>
      </w:r>
      <w:r w:rsidRPr="00D84809">
        <w:rPr>
          <w:rFonts w:eastAsia="Calibri" w:cs="Arial"/>
          <w:sz w:val="22"/>
          <w:szCs w:val="22"/>
          <w:lang w:bidi="he-IL"/>
        </w:rPr>
        <w:t xml:space="preserve"> </w:t>
      </w:r>
      <w:r>
        <w:rPr>
          <w:rFonts w:eastAsia="Calibri" w:cs="Arial"/>
          <w:sz w:val="22"/>
          <w:szCs w:val="22"/>
          <w:lang w:bidi="he-IL"/>
        </w:rPr>
        <w:t xml:space="preserve"> </w:t>
      </w:r>
      <w:r w:rsidRPr="00FE7C8B">
        <w:rPr>
          <w:rFonts w:eastAsia="Calibri" w:cs="Arial"/>
          <w:bCs/>
          <w:sz w:val="22"/>
          <w:szCs w:val="22"/>
          <w:lang w:bidi="he-IL"/>
        </w:rPr>
        <w:t>After a BHCA Affiliate of Party A, as the Covered Entity, has become subject to an Insolvency Proceeding, if Party B, as the Counterparty Entity, then seeks</w:t>
      </w:r>
      <w:r w:rsidRPr="00FE7C8B">
        <w:rPr>
          <w:rFonts w:eastAsia="Calibri" w:cs="Arial"/>
          <w:bCs/>
          <w:sz w:val="22"/>
          <w:szCs w:val="22"/>
          <w:lang w:bidi="he-IL"/>
        </w:rPr>
        <w:t xml:space="preserve"> to exercise any Default Right with respect to this </w:t>
      </w:r>
      <w:r>
        <w:rPr>
          <w:rFonts w:eastAsia="Calibri" w:cs="Arial"/>
          <w:bCs/>
          <w:sz w:val="22"/>
          <w:szCs w:val="22"/>
          <w:lang w:bidi="he-IL"/>
        </w:rPr>
        <w:t>Contract</w:t>
      </w:r>
      <w:r w:rsidRPr="00FE7C8B">
        <w:rPr>
          <w:rFonts w:eastAsia="Calibri" w:cs="Arial"/>
          <w:bCs/>
          <w:sz w:val="22"/>
          <w:szCs w:val="22"/>
          <w:lang w:bidi="he-IL"/>
        </w:rPr>
        <w:t xml:space="preserve">, as a Covered Direct QFC, </w:t>
      </w:r>
      <w:r w:rsidRPr="00FE7C8B">
        <w:rPr>
          <w:rFonts w:eastAsia="Calibri" w:cs="Arial"/>
          <w:bCs/>
          <w:sz w:val="22"/>
          <w:szCs w:val="22"/>
          <w:lang w:val="en-GB" w:bidi="he-IL"/>
        </w:rPr>
        <w:t xml:space="preserve">or any Covered Affiliate Credit Enhancement supporting this </w:t>
      </w:r>
      <w:r>
        <w:rPr>
          <w:rFonts w:eastAsia="Calibri" w:cs="Arial"/>
          <w:bCs/>
          <w:sz w:val="22"/>
          <w:szCs w:val="22"/>
          <w:lang w:val="en-GB" w:bidi="he-IL"/>
        </w:rPr>
        <w:t>Contract</w:t>
      </w:r>
      <w:r w:rsidRPr="00FE7C8B">
        <w:rPr>
          <w:rFonts w:eastAsia="Calibri" w:cs="Arial"/>
          <w:bCs/>
          <w:sz w:val="22"/>
          <w:szCs w:val="22"/>
          <w:lang w:bidi="he-IL"/>
        </w:rPr>
        <w:t xml:space="preserve">, </w:t>
      </w:r>
      <w:r w:rsidRPr="00FE7C8B">
        <w:rPr>
          <w:rFonts w:eastAsia="Calibri" w:cs="Arial"/>
          <w:sz w:val="22"/>
          <w:szCs w:val="22"/>
          <w:lang w:bidi="he-IL"/>
        </w:rPr>
        <w:t>arising upon the occurrence of a CPP Event of Default, then Party B, as the Coun</w:t>
      </w:r>
      <w:r>
        <w:rPr>
          <w:rFonts w:eastAsia="Calibri" w:cs="Arial"/>
          <w:sz w:val="22"/>
          <w:szCs w:val="22"/>
          <w:lang w:bidi="he-IL"/>
        </w:rPr>
        <w:t xml:space="preserve">terparty Entity, </w:t>
      </w:r>
      <w:r>
        <w:rPr>
          <w:rFonts w:eastAsia="Calibri" w:cs="Arial"/>
          <w:sz w:val="22"/>
          <w:szCs w:val="22"/>
          <w:lang w:bidi="he-IL"/>
        </w:rPr>
        <w:t>will be requir</w:t>
      </w:r>
      <w:r w:rsidRPr="00FE7C8B">
        <w:rPr>
          <w:rFonts w:eastAsia="Calibri" w:cs="Arial"/>
          <w:sz w:val="22"/>
          <w:szCs w:val="22"/>
          <w:lang w:bidi="he-IL"/>
        </w:rPr>
        <w:t xml:space="preserve">ed to </w:t>
      </w:r>
      <w:r>
        <w:rPr>
          <w:rFonts w:eastAsia="Calibri" w:cs="Arial"/>
          <w:sz w:val="22"/>
          <w:szCs w:val="22"/>
          <w:lang w:bidi="he-IL"/>
        </w:rPr>
        <w:t>bear the burden of proof that the exercise of any Default Right is permitted under this Contract by providing clear and convincing evidence or a similar or higher burden of proof demonstrating</w:t>
      </w:r>
      <w:r w:rsidRPr="00FE7C8B">
        <w:rPr>
          <w:rFonts w:eastAsia="Calibri" w:cs="Arial"/>
          <w:sz w:val="22"/>
          <w:szCs w:val="22"/>
          <w:lang w:bidi="he-IL"/>
        </w:rPr>
        <w:t xml:space="preserve"> that: </w:t>
      </w:r>
    </w:p>
    <w:p w:rsidR="00315B4B" w:rsidRPr="00FE7C8B" w:rsidRDefault="00315B4B" w:rsidP="00315B4B">
      <w:pPr>
        <w:ind w:left="1440" w:hanging="720"/>
        <w:rPr>
          <w:rFonts w:eastAsia="Calibri" w:cs="Arial"/>
          <w:sz w:val="22"/>
          <w:szCs w:val="22"/>
          <w:lang w:bidi="he-IL"/>
        </w:rPr>
      </w:pPr>
    </w:p>
    <w:p w:rsidR="00315B4B" w:rsidRPr="00FE7C8B" w:rsidRDefault="001B288C" w:rsidP="00315B4B">
      <w:pPr>
        <w:ind w:left="2160" w:hanging="720"/>
        <w:rPr>
          <w:rFonts w:eastAsia="Calibri" w:cs="Arial"/>
          <w:sz w:val="22"/>
          <w:szCs w:val="22"/>
          <w:lang w:bidi="he-IL"/>
        </w:rPr>
      </w:pPr>
      <w:r w:rsidRPr="00FE7C8B">
        <w:rPr>
          <w:rFonts w:eastAsia="Calibri" w:cs="Arial"/>
          <w:sz w:val="22"/>
          <w:szCs w:val="22"/>
          <w:lang w:bidi="he-IL"/>
        </w:rPr>
        <w:t>(i)</w:t>
      </w:r>
      <w:r w:rsidRPr="00FE7C8B">
        <w:rPr>
          <w:rFonts w:eastAsia="Calibri" w:cs="Arial"/>
          <w:sz w:val="22"/>
          <w:szCs w:val="22"/>
          <w:lang w:bidi="he-IL"/>
        </w:rPr>
        <w:tab/>
        <w:t>the factual circumstances compr</w:t>
      </w:r>
      <w:r w:rsidRPr="00FE7C8B">
        <w:rPr>
          <w:rFonts w:eastAsia="Calibri" w:cs="Arial"/>
          <w:sz w:val="22"/>
          <w:szCs w:val="22"/>
          <w:lang w:bidi="he-IL"/>
        </w:rPr>
        <w:t>ising the applicable CPP Eve</w:t>
      </w:r>
      <w:r>
        <w:rPr>
          <w:rFonts w:eastAsia="Calibri" w:cs="Arial"/>
          <w:sz w:val="22"/>
          <w:szCs w:val="22"/>
          <w:lang w:bidi="he-IL"/>
        </w:rPr>
        <w:t>nt of Default have occurred;</w:t>
      </w:r>
    </w:p>
    <w:p w:rsidR="00315B4B" w:rsidRPr="00FE7C8B" w:rsidRDefault="00315B4B" w:rsidP="00315B4B">
      <w:pPr>
        <w:ind w:left="2160" w:hanging="720"/>
        <w:rPr>
          <w:rFonts w:eastAsia="Calibri" w:cs="Arial"/>
          <w:sz w:val="22"/>
          <w:szCs w:val="22"/>
          <w:lang w:bidi="he-IL"/>
        </w:rPr>
      </w:pPr>
    </w:p>
    <w:p w:rsidR="00315B4B" w:rsidRDefault="001B288C" w:rsidP="00315B4B">
      <w:pPr>
        <w:ind w:left="2160" w:hanging="720"/>
        <w:rPr>
          <w:rFonts w:eastAsia="Calibri" w:cs="Arial"/>
          <w:sz w:val="22"/>
          <w:szCs w:val="22"/>
          <w:lang w:bidi="he-IL"/>
        </w:rPr>
      </w:pPr>
      <w:r w:rsidRPr="00FE7C8B">
        <w:rPr>
          <w:rFonts w:eastAsia="Calibri" w:cs="Arial"/>
          <w:sz w:val="22"/>
          <w:szCs w:val="22"/>
          <w:lang w:bidi="he-IL"/>
        </w:rPr>
        <w:t>(ii)</w:t>
      </w:r>
      <w:r w:rsidRPr="00FE7C8B">
        <w:rPr>
          <w:rFonts w:eastAsia="Calibri" w:cs="Arial"/>
          <w:sz w:val="22"/>
          <w:szCs w:val="22"/>
          <w:lang w:bidi="he-IL"/>
        </w:rPr>
        <w:tab/>
        <w:t xml:space="preserve">the Event of Default and any required Commercial Provisions comprising the Corresponding Event of Default designated for such CPP Event of Default (as shown below) are in effect under this </w:t>
      </w:r>
      <w:r>
        <w:rPr>
          <w:rFonts w:eastAsia="Calibri" w:cs="Arial"/>
          <w:sz w:val="22"/>
          <w:szCs w:val="22"/>
          <w:lang w:bidi="he-IL"/>
        </w:rPr>
        <w:t>Cont</w:t>
      </w:r>
      <w:r>
        <w:rPr>
          <w:rFonts w:eastAsia="Calibri" w:cs="Arial"/>
          <w:sz w:val="22"/>
          <w:szCs w:val="22"/>
          <w:lang w:bidi="he-IL"/>
        </w:rPr>
        <w:t>ract</w:t>
      </w:r>
      <w:r w:rsidRPr="00FE7C8B">
        <w:rPr>
          <w:rFonts w:eastAsia="Calibri" w:cs="Arial"/>
          <w:sz w:val="22"/>
          <w:szCs w:val="22"/>
          <w:lang w:bidi="he-IL"/>
        </w:rPr>
        <w:t xml:space="preserve"> and have not been otherwise contractually </w:t>
      </w:r>
      <w:r>
        <w:rPr>
          <w:rFonts w:eastAsia="Calibri" w:cs="Arial"/>
          <w:sz w:val="22"/>
          <w:szCs w:val="22"/>
          <w:lang w:bidi="he-IL"/>
        </w:rPr>
        <w:t>remov</w:t>
      </w:r>
      <w:r w:rsidRPr="00FE7C8B">
        <w:rPr>
          <w:rFonts w:eastAsia="Calibri" w:cs="Arial"/>
          <w:sz w:val="22"/>
          <w:szCs w:val="22"/>
          <w:lang w:bidi="he-IL"/>
        </w:rPr>
        <w:t xml:space="preserve">ed by written agreement of the parties to this </w:t>
      </w:r>
      <w:r>
        <w:rPr>
          <w:rFonts w:eastAsia="Calibri" w:cs="Arial"/>
          <w:sz w:val="22"/>
          <w:szCs w:val="22"/>
          <w:lang w:bidi="he-IL"/>
        </w:rPr>
        <w:t>Contract; and</w:t>
      </w:r>
    </w:p>
    <w:p w:rsidR="00315B4B" w:rsidRDefault="00315B4B" w:rsidP="00315B4B">
      <w:pPr>
        <w:ind w:left="2160" w:hanging="720"/>
        <w:rPr>
          <w:rFonts w:eastAsia="Calibri" w:cs="Arial"/>
          <w:sz w:val="22"/>
          <w:szCs w:val="22"/>
          <w:lang w:bidi="he-IL"/>
        </w:rPr>
      </w:pPr>
    </w:p>
    <w:p w:rsidR="00315B4B" w:rsidRPr="00FE7C8B" w:rsidRDefault="001B288C" w:rsidP="00315B4B">
      <w:pPr>
        <w:ind w:left="2160" w:hanging="720"/>
        <w:rPr>
          <w:rFonts w:eastAsia="Calibri" w:cs="Arial"/>
          <w:sz w:val="22"/>
          <w:szCs w:val="22"/>
          <w:lang w:bidi="he-IL"/>
        </w:rPr>
      </w:pPr>
      <w:r>
        <w:rPr>
          <w:rFonts w:eastAsia="Calibri" w:cs="Arial"/>
          <w:sz w:val="22"/>
          <w:szCs w:val="22"/>
          <w:lang w:bidi="he-IL"/>
        </w:rPr>
        <w:t>(iii)</w:t>
      </w:r>
      <w:r>
        <w:rPr>
          <w:rFonts w:eastAsia="Calibri" w:cs="Arial"/>
          <w:sz w:val="22"/>
          <w:szCs w:val="22"/>
          <w:lang w:bidi="he-IL"/>
        </w:rPr>
        <w:tab/>
      </w:r>
      <w:r w:rsidR="004A4135">
        <w:rPr>
          <w:rFonts w:eastAsia="Calibri" w:cs="Arial"/>
          <w:sz w:val="22"/>
          <w:szCs w:val="22"/>
          <w:lang w:bidi="he-IL"/>
        </w:rPr>
        <w:t>any</w:t>
      </w:r>
      <w:r>
        <w:rPr>
          <w:rFonts w:eastAsia="Calibri" w:cs="Arial"/>
          <w:sz w:val="22"/>
          <w:szCs w:val="22"/>
          <w:lang w:bidi="he-IL"/>
        </w:rPr>
        <w:t xml:space="preserve"> Default Right</w:t>
      </w:r>
      <w:r w:rsidR="004A4135">
        <w:rPr>
          <w:rFonts w:eastAsia="Calibri" w:cs="Arial"/>
          <w:sz w:val="22"/>
          <w:szCs w:val="22"/>
          <w:lang w:bidi="he-IL"/>
        </w:rPr>
        <w:t xml:space="preserve"> that the Counterparty Entity seeks to exercise is permitted by</w:t>
      </w:r>
      <w:r>
        <w:rPr>
          <w:rFonts w:eastAsia="Calibri" w:cs="Arial"/>
          <w:sz w:val="22"/>
          <w:szCs w:val="22"/>
          <w:lang w:bidi="he-IL"/>
        </w:rPr>
        <w:t xml:space="preserve"> this Contract,</w:t>
      </w:r>
      <w:r w:rsidRPr="00315B4B">
        <w:rPr>
          <w:rFonts w:eastAsia="Calibri" w:cs="Arial"/>
          <w:bCs/>
          <w:sz w:val="22"/>
          <w:szCs w:val="22"/>
          <w:lang w:val="en-GB" w:bidi="he-IL"/>
        </w:rPr>
        <w:t xml:space="preserve"> </w:t>
      </w:r>
      <w:r w:rsidRPr="00FE7C8B">
        <w:rPr>
          <w:rFonts w:eastAsia="Calibri" w:cs="Arial"/>
          <w:bCs/>
          <w:sz w:val="22"/>
          <w:szCs w:val="22"/>
          <w:lang w:val="en-GB" w:bidi="he-IL"/>
        </w:rPr>
        <w:t xml:space="preserve">or any Covered Affiliate Credit Enhancement supporting this </w:t>
      </w:r>
      <w:r>
        <w:rPr>
          <w:rFonts w:eastAsia="Calibri" w:cs="Arial"/>
          <w:bCs/>
          <w:sz w:val="22"/>
          <w:szCs w:val="22"/>
          <w:lang w:val="en-GB" w:bidi="he-IL"/>
        </w:rPr>
        <w:t>Contract</w:t>
      </w:r>
      <w:r w:rsidRPr="00FE7C8B">
        <w:rPr>
          <w:rFonts w:eastAsia="Calibri" w:cs="Arial"/>
          <w:bCs/>
          <w:sz w:val="22"/>
          <w:szCs w:val="22"/>
          <w:lang w:bidi="he-IL"/>
        </w:rPr>
        <w:t xml:space="preserve">, </w:t>
      </w:r>
      <w:r>
        <w:rPr>
          <w:rFonts w:eastAsia="Calibri" w:cs="Arial"/>
          <w:sz w:val="22"/>
          <w:szCs w:val="22"/>
          <w:lang w:bidi="he-IL"/>
        </w:rPr>
        <w:t>to be exercised upon the occurrence of the Event of Default specified as a component of the Corresponding Event of Default designated for such CPP Event of Default</w:t>
      </w:r>
      <w:r w:rsidRPr="00FE7C8B">
        <w:rPr>
          <w:rFonts w:eastAsia="Calibri" w:cs="Arial"/>
          <w:sz w:val="22"/>
          <w:szCs w:val="22"/>
          <w:lang w:bidi="he-IL"/>
        </w:rPr>
        <w:t>.</w:t>
      </w:r>
    </w:p>
    <w:p w:rsidR="00367546" w:rsidRPr="00367546" w:rsidRDefault="00367546" w:rsidP="007351CA">
      <w:pPr>
        <w:ind w:left="1440" w:hanging="720"/>
        <w:rPr>
          <w:sz w:val="22"/>
          <w:szCs w:val="22"/>
          <w:lang w:eastAsia="zh-CN"/>
        </w:rPr>
      </w:pPr>
    </w:p>
    <w:p w:rsidR="00F95B2B" w:rsidRPr="00F95B2B" w:rsidRDefault="001B288C" w:rsidP="00F95B2B">
      <w:pPr>
        <w:ind w:left="1440" w:hanging="720"/>
        <w:jc w:val="both"/>
        <w:rPr>
          <w:sz w:val="22"/>
          <w:szCs w:val="22"/>
          <w:lang w:eastAsia="zh-CN"/>
        </w:rPr>
      </w:pPr>
      <w:r>
        <w:rPr>
          <w:sz w:val="22"/>
          <w:szCs w:val="22"/>
          <w:lang w:eastAsia="zh-CN"/>
        </w:rPr>
        <w:t>(g</w:t>
      </w:r>
      <w:r w:rsidRPr="00F95B2B">
        <w:rPr>
          <w:sz w:val="22"/>
          <w:szCs w:val="22"/>
          <w:lang w:eastAsia="zh-CN"/>
        </w:rPr>
        <w:t>)</w:t>
      </w:r>
      <w:r w:rsidRPr="00F95B2B">
        <w:rPr>
          <w:sz w:val="22"/>
          <w:szCs w:val="22"/>
          <w:lang w:eastAsia="zh-CN"/>
        </w:rPr>
        <w:tab/>
      </w:r>
      <w:r w:rsidRPr="00F95B2B">
        <w:rPr>
          <w:sz w:val="22"/>
          <w:szCs w:val="22"/>
          <w:u w:val="single"/>
          <w:lang w:eastAsia="zh-CN"/>
        </w:rPr>
        <w:t xml:space="preserve">Enumerated CPP </w:t>
      </w:r>
      <w:r w:rsidRPr="00F95B2B">
        <w:rPr>
          <w:sz w:val="22"/>
          <w:szCs w:val="22"/>
          <w:u w:val="single"/>
          <w:lang w:eastAsia="zh-CN"/>
        </w:rPr>
        <w:t>Events of Default and the Corresponding Events of Default</w:t>
      </w:r>
      <w:r w:rsidRPr="00F95B2B">
        <w:rPr>
          <w:sz w:val="22"/>
          <w:szCs w:val="22"/>
          <w:lang w:eastAsia="zh-CN"/>
        </w:rPr>
        <w:t>.</w:t>
      </w:r>
    </w:p>
    <w:p w:rsidR="00F95B2B" w:rsidRPr="00F95B2B" w:rsidRDefault="00F95B2B" w:rsidP="00F95B2B">
      <w:pPr>
        <w:ind w:left="1440" w:hanging="720"/>
        <w:jc w:val="both"/>
        <w:rPr>
          <w:sz w:val="22"/>
          <w:szCs w:val="22"/>
          <w:lang w:eastAsia="zh-CN"/>
        </w:rPr>
      </w:pPr>
    </w:p>
    <w:p w:rsidR="009911DA" w:rsidRDefault="001B288C" w:rsidP="00F95B2B">
      <w:pPr>
        <w:ind w:left="2160" w:hanging="720"/>
        <w:rPr>
          <w:sz w:val="22"/>
          <w:szCs w:val="22"/>
          <w:lang w:eastAsia="zh-CN"/>
        </w:rPr>
      </w:pPr>
      <w:r>
        <w:rPr>
          <w:sz w:val="22"/>
          <w:szCs w:val="22"/>
          <w:lang w:eastAsia="zh-CN"/>
        </w:rPr>
        <w:t>(i</w:t>
      </w:r>
      <w:r w:rsidR="00A12C80" w:rsidRPr="00A12C80">
        <w:rPr>
          <w:sz w:val="22"/>
          <w:szCs w:val="22"/>
          <w:lang w:eastAsia="zh-CN"/>
        </w:rPr>
        <w:t>)</w:t>
      </w:r>
      <w:r w:rsidR="00A12C80" w:rsidRPr="00A12C80">
        <w:rPr>
          <w:sz w:val="22"/>
          <w:szCs w:val="22"/>
          <w:lang w:eastAsia="zh-CN"/>
        </w:rPr>
        <w:tab/>
      </w:r>
      <w:r w:rsidR="00A12C80" w:rsidRPr="00A12C80">
        <w:rPr>
          <w:sz w:val="22"/>
          <w:szCs w:val="22"/>
          <w:u w:val="single"/>
          <w:lang w:eastAsia="zh-CN"/>
        </w:rPr>
        <w:t xml:space="preserve">General Creditor Protection Events of Default under </w:t>
      </w:r>
      <w:bookmarkStart w:id="4" w:name="_Hlk11865838"/>
      <w:r w:rsidR="00A12C80" w:rsidRPr="00A12C80">
        <w:rPr>
          <w:sz w:val="22"/>
          <w:szCs w:val="22"/>
          <w:u w:val="single"/>
          <w:lang w:eastAsia="zh-CN"/>
        </w:rPr>
        <w:t>Section 252.84(d) of the FRB Rules, Section 382.4(d) of the FDIC Rules, and Section 47.5(d) of the OCC Rules</w:t>
      </w:r>
      <w:bookmarkEnd w:id="4"/>
      <w:r w:rsidR="00A12C80" w:rsidRPr="00A12C80">
        <w:rPr>
          <w:sz w:val="22"/>
          <w:szCs w:val="22"/>
          <w:u w:val="single"/>
          <w:lang w:eastAsia="zh-CN"/>
        </w:rPr>
        <w:t xml:space="preserve"> of the Creditor Protection Provisions of the QFC Stay Rules</w:t>
      </w:r>
      <w:r w:rsidR="00A12C80" w:rsidRPr="00A12C80">
        <w:rPr>
          <w:sz w:val="22"/>
          <w:szCs w:val="22"/>
          <w:lang w:eastAsia="zh-CN"/>
        </w:rPr>
        <w:t xml:space="preserve">.  </w:t>
      </w:r>
    </w:p>
    <w:p w:rsidR="009911DA" w:rsidRPr="009911DA" w:rsidRDefault="009911DA" w:rsidP="009911DA">
      <w:pPr>
        <w:ind w:left="1440" w:hanging="720"/>
        <w:rPr>
          <w:sz w:val="22"/>
          <w:szCs w:val="22"/>
          <w:lang w:eastAsia="zh-CN"/>
        </w:rPr>
      </w:pPr>
    </w:p>
    <w:p w:rsidR="009911DA" w:rsidRDefault="001B288C" w:rsidP="000873CB">
      <w:pPr>
        <w:ind w:left="2880" w:hanging="720"/>
        <w:rPr>
          <w:sz w:val="22"/>
          <w:szCs w:val="22"/>
          <w:lang w:eastAsia="zh-CN"/>
        </w:rPr>
      </w:pPr>
      <w:r w:rsidRPr="009911DA">
        <w:rPr>
          <w:sz w:val="22"/>
          <w:szCs w:val="22"/>
          <w:lang w:eastAsia="zh-CN"/>
        </w:rPr>
        <w:t>(1)</w:t>
      </w:r>
      <w:r w:rsidRPr="009911DA">
        <w:rPr>
          <w:sz w:val="22"/>
          <w:szCs w:val="22"/>
          <w:lang w:eastAsia="zh-CN"/>
        </w:rPr>
        <w:tab/>
      </w:r>
      <w:r w:rsidRPr="009911DA">
        <w:rPr>
          <w:sz w:val="22"/>
          <w:szCs w:val="22"/>
          <w:u w:val="single"/>
          <w:lang w:eastAsia="zh-CN"/>
        </w:rPr>
        <w:t>CPP Event of Default</w:t>
      </w:r>
      <w:r w:rsidRPr="009911DA">
        <w:rPr>
          <w:sz w:val="22"/>
          <w:szCs w:val="22"/>
          <w:lang w:eastAsia="zh-CN"/>
        </w:rPr>
        <w:t xml:space="preserve">: Party A, as the Direct Party, becoming subject to an Insolvency Proceeding (as designated in Section 252.84(d)(1) of the FRB Rules, Section 382.4(d)(1) of the FDIC Rules, and Section 47.5(d)(1) of </w:t>
      </w:r>
      <w:r w:rsidRPr="009911DA">
        <w:rPr>
          <w:sz w:val="22"/>
          <w:szCs w:val="22"/>
          <w:lang w:eastAsia="zh-CN"/>
        </w:rPr>
        <w:t>the OCC Rules); and</w:t>
      </w:r>
    </w:p>
    <w:p w:rsidR="009911DA" w:rsidRDefault="009911DA" w:rsidP="000873CB">
      <w:pPr>
        <w:ind w:left="2880" w:hanging="720"/>
        <w:rPr>
          <w:sz w:val="22"/>
          <w:szCs w:val="22"/>
          <w:u w:val="single"/>
          <w:lang w:eastAsia="zh-CN"/>
        </w:rPr>
      </w:pPr>
    </w:p>
    <w:p w:rsidR="003B1C5A" w:rsidRDefault="001B288C" w:rsidP="000873CB">
      <w:pPr>
        <w:ind w:left="2880"/>
        <w:rPr>
          <w:sz w:val="22"/>
          <w:szCs w:val="22"/>
          <w:lang w:eastAsia="zh-CN"/>
        </w:rPr>
      </w:pPr>
      <w:r w:rsidRPr="009911DA">
        <w:rPr>
          <w:sz w:val="22"/>
          <w:szCs w:val="22"/>
          <w:u w:val="single"/>
          <w:lang w:eastAsia="zh-CN"/>
        </w:rPr>
        <w:t>Corresponding Event of Default</w:t>
      </w:r>
      <w:r w:rsidRPr="009911DA">
        <w:rPr>
          <w:sz w:val="22"/>
          <w:szCs w:val="22"/>
          <w:lang w:eastAsia="zh-CN"/>
        </w:rPr>
        <w:t xml:space="preserve">: an Event of Default with respect to Party A, as the Direct Party, under Section </w:t>
      </w:r>
      <w:r>
        <w:rPr>
          <w:sz w:val="22"/>
          <w:szCs w:val="22"/>
          <w:lang w:eastAsia="zh-CN"/>
        </w:rPr>
        <w:t>10.2(i)-(v)</w:t>
      </w:r>
      <w:r w:rsidRPr="009911DA">
        <w:rPr>
          <w:sz w:val="22"/>
          <w:szCs w:val="22"/>
          <w:lang w:eastAsia="zh-CN"/>
        </w:rPr>
        <w:t xml:space="preserve"> of this </w:t>
      </w:r>
      <w:r>
        <w:rPr>
          <w:sz w:val="22"/>
          <w:szCs w:val="22"/>
          <w:lang w:eastAsia="zh-CN"/>
        </w:rPr>
        <w:t>Contract</w:t>
      </w:r>
      <w:r w:rsidR="00130CE2" w:rsidRPr="00130CE2">
        <w:rPr>
          <w:rFonts w:eastAsia="SimSun"/>
          <w:sz w:val="22"/>
          <w:szCs w:val="22"/>
        </w:rPr>
        <w:t>, provided, that</w:t>
      </w:r>
      <w:r w:rsidR="00766AB5" w:rsidRPr="00766AB5">
        <w:rPr>
          <w:rFonts w:eastAsia="SimSun"/>
          <w:sz w:val="22"/>
          <w:szCs w:val="22"/>
          <w:lang w:bidi="he-IL"/>
        </w:rPr>
        <w:t xml:space="preserve"> </w:t>
      </w:r>
      <w:r w:rsidR="00766AB5" w:rsidRPr="00766AB5">
        <w:rPr>
          <w:rFonts w:eastAsia="SimSun"/>
          <w:sz w:val="22"/>
          <w:szCs w:val="22"/>
        </w:rPr>
        <w:t xml:space="preserve">the following additional </w:t>
      </w:r>
      <w:r w:rsidR="00766AB5" w:rsidRPr="00766AB5">
        <w:rPr>
          <w:rFonts w:eastAsia="SimSun"/>
          <w:sz w:val="22"/>
          <w:szCs w:val="22"/>
          <w:u w:val="single"/>
        </w:rPr>
        <w:t>Commercial Provisions</w:t>
      </w:r>
      <w:r w:rsidR="00766AB5" w:rsidRPr="00766AB5">
        <w:rPr>
          <w:rFonts w:eastAsia="SimSun"/>
          <w:sz w:val="22"/>
          <w:szCs w:val="22"/>
        </w:rPr>
        <w:t xml:space="preserve"> are required</w:t>
      </w:r>
      <w:r w:rsidR="00130CE2" w:rsidRPr="00130CE2">
        <w:rPr>
          <w:rFonts w:eastAsia="SimSun"/>
          <w:sz w:val="22"/>
          <w:szCs w:val="22"/>
        </w:rPr>
        <w:t>: None</w:t>
      </w:r>
      <w:r w:rsidRPr="009911DA">
        <w:rPr>
          <w:sz w:val="22"/>
          <w:szCs w:val="22"/>
          <w:lang w:eastAsia="zh-CN"/>
        </w:rPr>
        <w:t>;</w:t>
      </w:r>
      <w:bookmarkStart w:id="5" w:name="_Hlk11866242"/>
    </w:p>
    <w:p w:rsidR="003B1C5A" w:rsidRPr="003B1C5A" w:rsidRDefault="003B1C5A" w:rsidP="00130CE2">
      <w:pPr>
        <w:ind w:left="2880" w:hanging="720"/>
        <w:jc w:val="both"/>
        <w:rPr>
          <w:sz w:val="22"/>
          <w:szCs w:val="22"/>
          <w:lang w:eastAsia="zh-CN"/>
        </w:rPr>
      </w:pPr>
    </w:p>
    <w:p w:rsidR="003B1C5A" w:rsidRPr="003B1C5A" w:rsidRDefault="001B288C" w:rsidP="00130CE2">
      <w:pPr>
        <w:ind w:left="2880" w:hanging="720"/>
        <w:rPr>
          <w:rFonts w:eastAsia="SimSun"/>
          <w:sz w:val="22"/>
          <w:szCs w:val="22"/>
        </w:rPr>
      </w:pPr>
      <w:r w:rsidRPr="003B1C5A">
        <w:rPr>
          <w:rFonts w:eastAsia="SimSun"/>
          <w:sz w:val="22"/>
          <w:szCs w:val="22"/>
        </w:rPr>
        <w:t>(2)</w:t>
      </w:r>
      <w:r w:rsidRPr="003B1C5A">
        <w:rPr>
          <w:rFonts w:eastAsia="SimSun"/>
          <w:sz w:val="22"/>
          <w:szCs w:val="22"/>
        </w:rPr>
        <w:tab/>
      </w:r>
      <w:r w:rsidRPr="003B1C5A">
        <w:rPr>
          <w:rFonts w:eastAsia="SimSun"/>
          <w:sz w:val="22"/>
          <w:szCs w:val="22"/>
          <w:u w:val="single"/>
        </w:rPr>
        <w:t xml:space="preserve">CPP </w:t>
      </w:r>
      <w:r w:rsidRPr="003B1C5A">
        <w:rPr>
          <w:rFonts w:eastAsia="SimSun"/>
          <w:sz w:val="22"/>
          <w:szCs w:val="22"/>
          <w:u w:val="single"/>
        </w:rPr>
        <w:t>Event of Default</w:t>
      </w:r>
      <w:r w:rsidRPr="003B1C5A">
        <w:rPr>
          <w:rFonts w:eastAsia="SimSun"/>
          <w:sz w:val="22"/>
          <w:szCs w:val="22"/>
        </w:rPr>
        <w:t>:  Party A, as the Direct Party,</w:t>
      </w:r>
      <w:r w:rsidRPr="003B1C5A">
        <w:rPr>
          <w:sz w:val="22"/>
          <w:szCs w:val="22"/>
        </w:rPr>
        <w:t xml:space="preserve"> not satisfying a payment or delivery obli</w:t>
      </w:r>
      <w:r>
        <w:rPr>
          <w:sz w:val="22"/>
          <w:szCs w:val="22"/>
        </w:rPr>
        <w:t>gation pursuant to this Contrac</w:t>
      </w:r>
      <w:r w:rsidRPr="003B1C5A">
        <w:rPr>
          <w:sz w:val="22"/>
          <w:szCs w:val="22"/>
        </w:rPr>
        <w:t xml:space="preserve">t, as the Covered </w:t>
      </w:r>
      <w:r w:rsidRPr="003B1C5A">
        <w:rPr>
          <w:sz w:val="22"/>
          <w:szCs w:val="22"/>
        </w:rPr>
        <w:lastRenderedPageBreak/>
        <w:t xml:space="preserve">Direct QFC </w:t>
      </w:r>
      <w:r w:rsidRPr="003B1C5A">
        <w:rPr>
          <w:rFonts w:eastAsia="SimSun"/>
          <w:sz w:val="22"/>
          <w:szCs w:val="22"/>
        </w:rPr>
        <w:t>(as designated in Section 252.84(d)(2) of the FRB Rules, Section 382.4(d)(2) of the FDIC Rules, and Sectio</w:t>
      </w:r>
      <w:r w:rsidRPr="003B1C5A">
        <w:rPr>
          <w:rFonts w:eastAsia="SimSun"/>
          <w:sz w:val="22"/>
          <w:szCs w:val="22"/>
        </w:rPr>
        <w:t>n 47.5(d)(2) of the OCC Rules); and</w:t>
      </w:r>
    </w:p>
    <w:p w:rsidR="003B1C5A" w:rsidRPr="003B1C5A" w:rsidRDefault="003B1C5A" w:rsidP="00130CE2">
      <w:pPr>
        <w:ind w:left="2880" w:hanging="720"/>
        <w:rPr>
          <w:rFonts w:eastAsia="SimSun"/>
          <w:sz w:val="22"/>
          <w:szCs w:val="22"/>
        </w:rPr>
      </w:pPr>
    </w:p>
    <w:p w:rsidR="003B1C5A" w:rsidRDefault="001B288C" w:rsidP="00130CE2">
      <w:pPr>
        <w:ind w:left="2880"/>
        <w:rPr>
          <w:rFonts w:eastAsia="SimSun"/>
          <w:sz w:val="22"/>
          <w:szCs w:val="22"/>
        </w:rPr>
      </w:pPr>
      <w:r w:rsidRPr="003B1C5A">
        <w:rPr>
          <w:rFonts w:eastAsia="SimSun"/>
          <w:sz w:val="22"/>
          <w:szCs w:val="22"/>
          <w:u w:val="single"/>
        </w:rPr>
        <w:t>Corresponding Event of Default</w:t>
      </w:r>
      <w:r w:rsidRPr="003B1C5A">
        <w:rPr>
          <w:rFonts w:eastAsia="SimSun"/>
          <w:sz w:val="22"/>
          <w:szCs w:val="22"/>
        </w:rPr>
        <w:t xml:space="preserve">: an Event of Default with respect to Party A, as the Direct Party, under Section </w:t>
      </w:r>
      <w:r>
        <w:rPr>
          <w:rFonts w:eastAsia="SimSun"/>
          <w:sz w:val="22"/>
          <w:szCs w:val="22"/>
        </w:rPr>
        <w:t>10.2(viii) of</w:t>
      </w:r>
      <w:r w:rsidRPr="003B1C5A">
        <w:rPr>
          <w:rFonts w:eastAsia="SimSun"/>
          <w:sz w:val="22"/>
          <w:szCs w:val="22"/>
        </w:rPr>
        <w:t xml:space="preserve"> this </w:t>
      </w:r>
      <w:r>
        <w:rPr>
          <w:rFonts w:eastAsia="SimSun"/>
          <w:sz w:val="22"/>
          <w:szCs w:val="22"/>
        </w:rPr>
        <w:t>Contract</w:t>
      </w:r>
      <w:r w:rsidR="00130CE2" w:rsidRPr="00130CE2">
        <w:rPr>
          <w:rFonts w:eastAsia="SimSun"/>
          <w:sz w:val="22"/>
          <w:szCs w:val="22"/>
        </w:rPr>
        <w:t xml:space="preserve">, provided, that </w:t>
      </w:r>
      <w:r w:rsidR="00766AB5" w:rsidRPr="00766AB5">
        <w:rPr>
          <w:rFonts w:eastAsia="SimSun"/>
          <w:sz w:val="22"/>
          <w:szCs w:val="22"/>
        </w:rPr>
        <w:t xml:space="preserve">the following additional </w:t>
      </w:r>
      <w:r w:rsidR="00766AB5" w:rsidRPr="00766AB5">
        <w:rPr>
          <w:rFonts w:eastAsia="SimSun"/>
          <w:sz w:val="22"/>
          <w:szCs w:val="22"/>
          <w:u w:val="single"/>
        </w:rPr>
        <w:t>Commercial Provisions</w:t>
      </w:r>
      <w:r w:rsidR="00766AB5" w:rsidRPr="00766AB5">
        <w:rPr>
          <w:rFonts w:eastAsia="SimSun"/>
          <w:sz w:val="22"/>
          <w:szCs w:val="22"/>
        </w:rPr>
        <w:t xml:space="preserve"> are required</w:t>
      </w:r>
      <w:r w:rsidR="00130CE2" w:rsidRPr="00130CE2">
        <w:rPr>
          <w:rFonts w:eastAsia="SimSun"/>
          <w:sz w:val="22"/>
          <w:szCs w:val="22"/>
        </w:rPr>
        <w:t>: None</w:t>
      </w:r>
      <w:r w:rsidRPr="003B1C5A">
        <w:rPr>
          <w:rFonts w:eastAsia="SimSun"/>
          <w:sz w:val="22"/>
          <w:szCs w:val="22"/>
        </w:rPr>
        <w:t xml:space="preserve">; </w:t>
      </w:r>
    </w:p>
    <w:p w:rsidR="003B1C5A" w:rsidRDefault="003B1C5A" w:rsidP="00130CE2">
      <w:pPr>
        <w:ind w:left="2880"/>
        <w:rPr>
          <w:rFonts w:eastAsia="SimSun"/>
          <w:sz w:val="22"/>
          <w:szCs w:val="22"/>
        </w:rPr>
      </w:pPr>
    </w:p>
    <w:p w:rsidR="003B1C5A" w:rsidRDefault="001B288C" w:rsidP="00130CE2">
      <w:pPr>
        <w:ind w:left="2880" w:hanging="720"/>
        <w:rPr>
          <w:rFonts w:eastAsia="SimSun"/>
          <w:sz w:val="22"/>
          <w:szCs w:val="22"/>
        </w:rPr>
      </w:pPr>
      <w:r>
        <w:rPr>
          <w:rFonts w:eastAsia="SimSun"/>
          <w:sz w:val="22"/>
          <w:szCs w:val="22"/>
        </w:rPr>
        <w:t>(3)</w:t>
      </w:r>
      <w:r>
        <w:rPr>
          <w:rFonts w:eastAsia="SimSun"/>
          <w:sz w:val="22"/>
          <w:szCs w:val="22"/>
        </w:rPr>
        <w:tab/>
      </w:r>
      <w:r w:rsidRPr="008D289B">
        <w:rPr>
          <w:rFonts w:eastAsia="SimSun"/>
          <w:sz w:val="22"/>
          <w:szCs w:val="22"/>
          <w:u w:val="single"/>
        </w:rPr>
        <w:t>CPP Event of Default</w:t>
      </w:r>
      <w:r>
        <w:rPr>
          <w:rFonts w:eastAsia="SimSun"/>
          <w:sz w:val="22"/>
          <w:szCs w:val="22"/>
        </w:rPr>
        <w:t>:  Party A, as the Direct Party,</w:t>
      </w:r>
      <w:r>
        <w:rPr>
          <w:sz w:val="22"/>
          <w:szCs w:val="22"/>
        </w:rPr>
        <w:t xml:space="preserve"> </w:t>
      </w:r>
      <w:r w:rsidRPr="00F575FF">
        <w:rPr>
          <w:sz w:val="22"/>
          <w:szCs w:val="22"/>
        </w:rPr>
        <w:t>not satisfying a payment or de</w:t>
      </w:r>
      <w:r>
        <w:rPr>
          <w:sz w:val="22"/>
          <w:szCs w:val="22"/>
        </w:rPr>
        <w:t>livery obligation pursuant to another contract between Party A, as the Covered Entity, and Party B, as the Counterparty Entity, that gives rise to a Default Right in this Contract, as a Covered Direct QFC between the same Covered Entity and Counterparty En</w:t>
      </w:r>
      <w:r>
        <w:rPr>
          <w:sz w:val="22"/>
          <w:szCs w:val="22"/>
        </w:rPr>
        <w:t xml:space="preserve">tity </w:t>
      </w:r>
      <w:r>
        <w:rPr>
          <w:rFonts w:eastAsia="SimSun"/>
          <w:sz w:val="22"/>
          <w:szCs w:val="22"/>
        </w:rPr>
        <w:t xml:space="preserve">(as designated in </w:t>
      </w:r>
      <w:r w:rsidRPr="002447F7">
        <w:rPr>
          <w:rFonts w:eastAsia="SimSun"/>
          <w:sz w:val="22"/>
          <w:szCs w:val="22"/>
        </w:rPr>
        <w:t>Section 252.84(d)</w:t>
      </w:r>
      <w:r>
        <w:rPr>
          <w:rFonts w:eastAsia="SimSun"/>
          <w:sz w:val="22"/>
          <w:szCs w:val="22"/>
        </w:rPr>
        <w:t>(2)</w:t>
      </w:r>
      <w:r w:rsidRPr="002447F7">
        <w:rPr>
          <w:rFonts w:eastAsia="SimSun"/>
          <w:sz w:val="22"/>
          <w:szCs w:val="22"/>
        </w:rPr>
        <w:t xml:space="preserve"> of the FRB Rules, Section 382.4(d)</w:t>
      </w:r>
      <w:r>
        <w:rPr>
          <w:rFonts w:eastAsia="SimSun"/>
          <w:sz w:val="22"/>
          <w:szCs w:val="22"/>
        </w:rPr>
        <w:t>(2)</w:t>
      </w:r>
      <w:r w:rsidRPr="002447F7">
        <w:rPr>
          <w:rFonts w:eastAsia="SimSun"/>
          <w:sz w:val="22"/>
          <w:szCs w:val="22"/>
        </w:rPr>
        <w:t xml:space="preserve"> of the FDIC Rules, and Section 47.5(d)</w:t>
      </w:r>
      <w:r>
        <w:rPr>
          <w:rFonts w:eastAsia="SimSun"/>
          <w:sz w:val="22"/>
          <w:szCs w:val="22"/>
        </w:rPr>
        <w:t>(2)</w:t>
      </w:r>
      <w:r w:rsidRPr="002447F7">
        <w:rPr>
          <w:rFonts w:eastAsia="SimSun"/>
          <w:sz w:val="22"/>
          <w:szCs w:val="22"/>
        </w:rPr>
        <w:t xml:space="preserve"> of the OCC Rules</w:t>
      </w:r>
      <w:r>
        <w:rPr>
          <w:rFonts w:eastAsia="SimSun"/>
          <w:sz w:val="22"/>
          <w:szCs w:val="22"/>
        </w:rPr>
        <w:t>); and</w:t>
      </w:r>
    </w:p>
    <w:p w:rsidR="003B1C5A" w:rsidRDefault="003B1C5A" w:rsidP="00130CE2">
      <w:pPr>
        <w:ind w:left="2880" w:hanging="720"/>
        <w:rPr>
          <w:rFonts w:eastAsia="SimSun"/>
          <w:sz w:val="22"/>
          <w:szCs w:val="22"/>
        </w:rPr>
      </w:pPr>
    </w:p>
    <w:p w:rsidR="003B1C5A" w:rsidRPr="00CD54E7" w:rsidRDefault="001B288C" w:rsidP="00CD54E7">
      <w:pPr>
        <w:ind w:left="2880"/>
        <w:rPr>
          <w:rFonts w:eastAsia="SimSun"/>
          <w:sz w:val="22"/>
          <w:szCs w:val="22"/>
        </w:rPr>
      </w:pPr>
      <w:r w:rsidRPr="00721A02">
        <w:rPr>
          <w:sz w:val="22"/>
          <w:szCs w:val="22"/>
          <w:u w:val="single"/>
        </w:rPr>
        <w:t>Corresponding Event of Default</w:t>
      </w:r>
      <w:r w:rsidRPr="00721A02">
        <w:rPr>
          <w:sz w:val="22"/>
          <w:szCs w:val="22"/>
        </w:rPr>
        <w:t>:</w:t>
      </w:r>
      <w:r>
        <w:rPr>
          <w:sz w:val="22"/>
          <w:szCs w:val="22"/>
        </w:rPr>
        <w:t xml:space="preserve">  </w:t>
      </w:r>
      <w:r>
        <w:rPr>
          <w:rFonts w:eastAsia="SimSun"/>
          <w:sz w:val="22"/>
          <w:szCs w:val="22"/>
        </w:rPr>
        <w:t xml:space="preserve">an Event of Default with respect to Party A, as the Direct Party, under Section </w:t>
      </w:r>
      <w:r w:rsidR="00382776">
        <w:rPr>
          <w:rFonts w:eastAsia="SimSun"/>
          <w:sz w:val="22"/>
          <w:szCs w:val="22"/>
        </w:rPr>
        <w:t>10.2</w:t>
      </w:r>
      <w:r>
        <w:rPr>
          <w:rFonts w:eastAsia="SimSun"/>
          <w:sz w:val="22"/>
          <w:szCs w:val="22"/>
        </w:rPr>
        <w:t>(</w:t>
      </w:r>
      <w:r w:rsidR="00382776">
        <w:rPr>
          <w:rFonts w:eastAsia="SimSun"/>
          <w:sz w:val="22"/>
          <w:szCs w:val="22"/>
        </w:rPr>
        <w:t>ix)</w:t>
      </w:r>
      <w:r>
        <w:rPr>
          <w:rFonts w:eastAsia="SimSun"/>
          <w:sz w:val="22"/>
          <w:szCs w:val="22"/>
        </w:rPr>
        <w:t xml:space="preserve"> of </w:t>
      </w:r>
      <w:r w:rsidR="00382776">
        <w:rPr>
          <w:rFonts w:eastAsia="SimSun"/>
          <w:sz w:val="22"/>
          <w:szCs w:val="22"/>
        </w:rPr>
        <w:t>this Contrac</w:t>
      </w:r>
      <w:r>
        <w:rPr>
          <w:rFonts w:eastAsia="SimSun"/>
          <w:sz w:val="22"/>
          <w:szCs w:val="22"/>
        </w:rPr>
        <w:t>t</w:t>
      </w:r>
      <w:r w:rsidR="00130CE2">
        <w:rPr>
          <w:rFonts w:eastAsia="SimSun"/>
          <w:sz w:val="22"/>
          <w:szCs w:val="22"/>
        </w:rPr>
        <w:t>,</w:t>
      </w:r>
      <w:r>
        <w:rPr>
          <w:rFonts w:eastAsia="SimSun"/>
          <w:sz w:val="22"/>
          <w:szCs w:val="22"/>
        </w:rPr>
        <w:t xml:space="preserve"> </w:t>
      </w:r>
      <w:r w:rsidR="00130CE2" w:rsidRPr="00130CE2">
        <w:rPr>
          <w:rFonts w:eastAsia="SimSun"/>
          <w:sz w:val="22"/>
          <w:szCs w:val="22"/>
        </w:rPr>
        <w:t xml:space="preserve">provided, that </w:t>
      </w:r>
      <w:r w:rsidR="00766AB5" w:rsidRPr="00766AB5">
        <w:rPr>
          <w:rFonts w:eastAsia="SimSun"/>
          <w:sz w:val="22"/>
          <w:szCs w:val="22"/>
        </w:rPr>
        <w:t xml:space="preserve">the following additional </w:t>
      </w:r>
      <w:r w:rsidR="00766AB5" w:rsidRPr="00766AB5">
        <w:rPr>
          <w:rFonts w:eastAsia="SimSun"/>
          <w:sz w:val="22"/>
          <w:szCs w:val="22"/>
          <w:u w:val="single"/>
        </w:rPr>
        <w:t>Commercial Provisions</w:t>
      </w:r>
      <w:r w:rsidR="00766AB5" w:rsidRPr="00766AB5">
        <w:rPr>
          <w:rFonts w:eastAsia="SimSun"/>
          <w:sz w:val="22"/>
          <w:szCs w:val="22"/>
        </w:rPr>
        <w:t xml:space="preserve"> are required</w:t>
      </w:r>
      <w:r w:rsidR="00130CE2" w:rsidRPr="00130CE2">
        <w:rPr>
          <w:rFonts w:eastAsia="SimSun"/>
          <w:sz w:val="22"/>
          <w:szCs w:val="22"/>
        </w:rPr>
        <w:t xml:space="preserve">: (i) Specified Transaction is defined </w:t>
      </w:r>
      <w:r w:rsidR="00CD54E7">
        <w:rPr>
          <w:rFonts w:eastAsia="SimSun"/>
          <w:sz w:val="22"/>
          <w:szCs w:val="22"/>
        </w:rPr>
        <w:t xml:space="preserve">under this Contract </w:t>
      </w:r>
      <w:r w:rsidR="00130CE2" w:rsidRPr="00130CE2">
        <w:rPr>
          <w:rFonts w:eastAsia="SimSun"/>
          <w:sz w:val="22"/>
          <w:szCs w:val="22"/>
        </w:rPr>
        <w:t>either as any other contract between Party A and Party B or</w:t>
      </w:r>
      <w:r w:rsidR="00CD54E7">
        <w:rPr>
          <w:rFonts w:eastAsia="SimSun"/>
          <w:sz w:val="22"/>
          <w:szCs w:val="22"/>
        </w:rPr>
        <w:t xml:space="preserve"> in some other way that includes</w:t>
      </w:r>
      <w:r w:rsidR="00130CE2" w:rsidRPr="00130CE2">
        <w:rPr>
          <w:rFonts w:eastAsia="SimSun"/>
          <w:sz w:val="22"/>
          <w:szCs w:val="22"/>
        </w:rPr>
        <w:t xml:space="preserve"> the specific contract between Party A and Party B under which Party A has failed to satisfy a payment or delivery obligation which gives rise to the CPP Event of Default, and (ii) a failure by Party A to satisfy a payment or delivery obligation under such Specified Transaction gives rise to a</w:t>
      </w:r>
      <w:r w:rsidR="00CD54E7">
        <w:rPr>
          <w:rFonts w:eastAsia="SimSun"/>
          <w:sz w:val="22"/>
          <w:szCs w:val="22"/>
        </w:rPr>
        <w:t xml:space="preserve"> Transactional Cross </w:t>
      </w:r>
      <w:r w:rsidR="00130CE2" w:rsidRPr="00130CE2">
        <w:rPr>
          <w:rFonts w:eastAsia="SimSun"/>
          <w:sz w:val="22"/>
          <w:szCs w:val="22"/>
        </w:rPr>
        <w:t>Default</w:t>
      </w:r>
      <w:r w:rsidR="00CD54E7">
        <w:rPr>
          <w:rFonts w:eastAsia="SimSun"/>
          <w:sz w:val="22"/>
          <w:szCs w:val="22"/>
        </w:rPr>
        <w:t xml:space="preserve"> and/or an Additional Event of Default </w:t>
      </w:r>
      <w:r w:rsidR="00130CE2" w:rsidRPr="00130CE2">
        <w:rPr>
          <w:rFonts w:eastAsia="SimSun"/>
          <w:sz w:val="22"/>
          <w:szCs w:val="22"/>
        </w:rPr>
        <w:t xml:space="preserve">under this </w:t>
      </w:r>
      <w:r w:rsidR="00CD54E7">
        <w:rPr>
          <w:rFonts w:eastAsia="SimSun"/>
          <w:sz w:val="22"/>
          <w:szCs w:val="22"/>
        </w:rPr>
        <w:t>Contract</w:t>
      </w:r>
      <w:r w:rsidR="00130CE2" w:rsidRPr="00130CE2">
        <w:rPr>
          <w:rFonts w:eastAsia="SimSun"/>
          <w:sz w:val="22"/>
          <w:szCs w:val="22"/>
        </w:rPr>
        <w:t>;</w:t>
      </w:r>
      <w:r>
        <w:rPr>
          <w:rFonts w:eastAsia="SimSun"/>
          <w:sz w:val="22"/>
          <w:szCs w:val="22"/>
        </w:rPr>
        <w:t xml:space="preserve"> </w:t>
      </w:r>
      <w:r>
        <w:rPr>
          <w:sz w:val="22"/>
          <w:szCs w:val="22"/>
        </w:rPr>
        <w:t xml:space="preserve">or </w:t>
      </w:r>
    </w:p>
    <w:p w:rsidR="00584E93" w:rsidRPr="00584E93" w:rsidRDefault="00584E93" w:rsidP="00CD54E7">
      <w:pPr>
        <w:ind w:left="2880" w:hanging="720"/>
        <w:rPr>
          <w:sz w:val="22"/>
          <w:szCs w:val="22"/>
        </w:rPr>
      </w:pPr>
    </w:p>
    <w:p w:rsidR="00584E93" w:rsidRPr="00584E93" w:rsidRDefault="001B288C" w:rsidP="00CD54E7">
      <w:pPr>
        <w:ind w:left="2880" w:hanging="720"/>
        <w:rPr>
          <w:rFonts w:eastAsia="SimSun" w:cs="Arial"/>
          <w:sz w:val="22"/>
          <w:szCs w:val="22"/>
          <w:lang w:bidi="he-IL"/>
        </w:rPr>
      </w:pPr>
      <w:r w:rsidRPr="00584E93">
        <w:rPr>
          <w:rFonts w:eastAsia="Calibri" w:cs="Arial"/>
          <w:sz w:val="22"/>
          <w:szCs w:val="22"/>
          <w:lang w:bidi="he-IL"/>
        </w:rPr>
        <w:t>(4)</w:t>
      </w:r>
      <w:r w:rsidRPr="00584E93">
        <w:rPr>
          <w:rFonts w:eastAsia="Calibri" w:cs="Arial"/>
          <w:sz w:val="22"/>
          <w:szCs w:val="22"/>
          <w:lang w:bidi="he-IL"/>
        </w:rPr>
        <w:tab/>
      </w:r>
      <w:r w:rsidRPr="00584E93">
        <w:rPr>
          <w:rFonts w:eastAsia="SimSun" w:cs="Arial"/>
          <w:sz w:val="22"/>
          <w:szCs w:val="22"/>
          <w:u w:val="single"/>
          <w:lang w:bidi="he-IL"/>
        </w:rPr>
        <w:t>CPP Event of Default</w:t>
      </w:r>
      <w:r w:rsidRPr="00584E93">
        <w:rPr>
          <w:rFonts w:eastAsia="SimSun" w:cs="Arial"/>
          <w:sz w:val="22"/>
          <w:szCs w:val="22"/>
          <w:lang w:bidi="he-IL"/>
        </w:rPr>
        <w:t xml:space="preserve">:  </w:t>
      </w:r>
      <w:r w:rsidRPr="00584E93">
        <w:rPr>
          <w:rFonts w:eastAsia="Calibri" w:cs="Arial"/>
          <w:sz w:val="22"/>
          <w:szCs w:val="22"/>
          <w:lang w:bidi="he-IL"/>
        </w:rPr>
        <w:t xml:space="preserve">the failure of Party A’s </w:t>
      </w:r>
      <w:r w:rsidR="00701058">
        <w:rPr>
          <w:rFonts w:eastAsia="Calibri" w:cs="Arial"/>
          <w:sz w:val="22"/>
          <w:szCs w:val="22"/>
          <w:lang w:bidi="he-IL"/>
        </w:rPr>
        <w:t>Guarantor</w:t>
      </w:r>
      <w:r w:rsidRPr="00584E93">
        <w:rPr>
          <w:rFonts w:eastAsia="Calibri" w:cs="Arial"/>
          <w:sz w:val="22"/>
          <w:szCs w:val="22"/>
          <w:lang w:bidi="he-IL"/>
        </w:rPr>
        <w:t xml:space="preserve">, as a Covered Affiliate Support Provider, or any Transferee thereof, to satisfy a payment or delivery obligation pursuant to any Credit Support </w:t>
      </w:r>
      <w:r w:rsidR="00701058">
        <w:rPr>
          <w:rFonts w:eastAsia="Calibri" w:cs="Arial"/>
          <w:sz w:val="22"/>
          <w:szCs w:val="22"/>
          <w:lang w:bidi="he-IL"/>
        </w:rPr>
        <w:t>Obligations</w:t>
      </w:r>
      <w:r w:rsidRPr="00584E93">
        <w:rPr>
          <w:rFonts w:eastAsia="Calibri" w:cs="Arial"/>
          <w:sz w:val="22"/>
          <w:szCs w:val="22"/>
          <w:lang w:bidi="he-IL"/>
        </w:rPr>
        <w:t xml:space="preserve">, as a Covered Affiliate Credit Enhancement, that supports this </w:t>
      </w:r>
      <w:r w:rsidR="00400B6E">
        <w:rPr>
          <w:rFonts w:eastAsia="Calibri" w:cs="Arial"/>
          <w:sz w:val="22"/>
          <w:szCs w:val="22"/>
          <w:lang w:bidi="he-IL"/>
        </w:rPr>
        <w:t>Contract</w:t>
      </w:r>
      <w:r w:rsidRPr="00584E93">
        <w:rPr>
          <w:rFonts w:eastAsia="Calibri" w:cs="Arial"/>
          <w:sz w:val="22"/>
          <w:szCs w:val="22"/>
          <w:lang w:bidi="he-IL"/>
        </w:rPr>
        <w:t xml:space="preserve"> as a Covered Direct QFC </w:t>
      </w:r>
      <w:r w:rsidRPr="00584E93">
        <w:rPr>
          <w:rFonts w:eastAsia="SimSun" w:cs="Arial"/>
          <w:sz w:val="22"/>
          <w:szCs w:val="22"/>
          <w:lang w:bidi="he-IL"/>
        </w:rPr>
        <w:t>(as designated in Section 252.84(d)(3) of the FRB Rules, Section 382.4(d)(3) of the FDIC Rules, and Section 47.5(d)(3) of the OCC Rules); and</w:t>
      </w:r>
    </w:p>
    <w:p w:rsidR="00584E93" w:rsidRPr="00584E93" w:rsidRDefault="00584E93" w:rsidP="00CD54E7">
      <w:pPr>
        <w:ind w:left="2880" w:hanging="720"/>
        <w:rPr>
          <w:rFonts w:eastAsia="SimSun" w:cs="Arial"/>
          <w:sz w:val="22"/>
          <w:szCs w:val="22"/>
          <w:lang w:bidi="he-IL"/>
        </w:rPr>
      </w:pPr>
    </w:p>
    <w:p w:rsidR="00584E93" w:rsidRPr="00400B6E" w:rsidRDefault="001B288C" w:rsidP="00CD54E7">
      <w:pPr>
        <w:ind w:left="2880"/>
        <w:rPr>
          <w:rFonts w:eastAsia="Calibri" w:cs="Arial"/>
          <w:sz w:val="22"/>
          <w:szCs w:val="22"/>
          <w:lang w:bidi="he-IL"/>
        </w:rPr>
      </w:pPr>
      <w:r w:rsidRPr="00584E93">
        <w:rPr>
          <w:rFonts w:eastAsia="SimSun" w:cs="Arial"/>
          <w:sz w:val="22"/>
          <w:szCs w:val="22"/>
          <w:u w:val="single"/>
          <w:lang w:bidi="he-IL"/>
        </w:rPr>
        <w:t>Corresponding Event of Default</w:t>
      </w:r>
      <w:r w:rsidRPr="00584E93">
        <w:rPr>
          <w:rFonts w:eastAsia="SimSun" w:cs="Arial"/>
          <w:sz w:val="22"/>
          <w:szCs w:val="22"/>
          <w:lang w:bidi="he-IL"/>
        </w:rPr>
        <w:t>:  an Event of Default with respect to Party A, as t</w:t>
      </w:r>
      <w:r w:rsidRPr="00584E93">
        <w:rPr>
          <w:rFonts w:eastAsia="SimSun" w:cs="Arial"/>
          <w:sz w:val="22"/>
          <w:szCs w:val="22"/>
          <w:lang w:bidi="he-IL"/>
        </w:rPr>
        <w:t>he Direct Party,</w:t>
      </w:r>
      <w:r w:rsidR="003A475E">
        <w:rPr>
          <w:rFonts w:eastAsia="SimSun" w:cs="Arial"/>
          <w:sz w:val="22"/>
          <w:szCs w:val="22"/>
          <w:lang w:bidi="he-IL"/>
        </w:rPr>
        <w:t xml:space="preserve"> or </w:t>
      </w:r>
      <w:r w:rsidRPr="00584E93">
        <w:rPr>
          <w:rFonts w:eastAsia="SimSun" w:cs="Arial"/>
          <w:sz w:val="22"/>
          <w:szCs w:val="22"/>
          <w:lang w:bidi="he-IL"/>
        </w:rPr>
        <w:t xml:space="preserve">any </w:t>
      </w:r>
      <w:r w:rsidR="003A475E">
        <w:rPr>
          <w:rFonts w:eastAsia="SimSun" w:cs="Arial"/>
          <w:sz w:val="22"/>
          <w:szCs w:val="22"/>
          <w:lang w:bidi="he-IL"/>
        </w:rPr>
        <w:t>Guarantor</w:t>
      </w:r>
      <w:r w:rsidRPr="00584E93">
        <w:rPr>
          <w:rFonts w:eastAsia="SimSun" w:cs="Arial"/>
          <w:sz w:val="22"/>
          <w:szCs w:val="22"/>
          <w:lang w:bidi="he-IL"/>
        </w:rPr>
        <w:t xml:space="preserve"> of Party A</w:t>
      </w:r>
      <w:r w:rsidR="003A475E">
        <w:rPr>
          <w:rFonts w:eastAsia="SimSun" w:cs="Arial"/>
          <w:sz w:val="22"/>
          <w:szCs w:val="22"/>
          <w:lang w:bidi="he-IL"/>
        </w:rPr>
        <w:t>’s obligations</w:t>
      </w:r>
      <w:r w:rsidRPr="00584E93">
        <w:rPr>
          <w:rFonts w:eastAsia="SimSun" w:cs="Arial"/>
          <w:sz w:val="22"/>
          <w:szCs w:val="22"/>
          <w:lang w:bidi="he-IL"/>
        </w:rPr>
        <w:t xml:space="preserve">, as a Covered Affiliate Support Provider, under Section </w:t>
      </w:r>
      <w:r w:rsidR="003A475E">
        <w:rPr>
          <w:rFonts w:eastAsia="SimSun" w:cs="Arial"/>
          <w:sz w:val="22"/>
          <w:szCs w:val="22"/>
          <w:lang w:bidi="he-IL"/>
        </w:rPr>
        <w:t>10.2</w:t>
      </w:r>
      <w:r w:rsidRPr="00584E93">
        <w:rPr>
          <w:rFonts w:eastAsia="SimSun" w:cs="Arial"/>
          <w:sz w:val="22"/>
          <w:szCs w:val="22"/>
          <w:lang w:bidi="he-IL"/>
        </w:rPr>
        <w:t>(</w:t>
      </w:r>
      <w:r w:rsidR="003A475E">
        <w:rPr>
          <w:rFonts w:eastAsia="SimSun" w:cs="Arial"/>
          <w:sz w:val="22"/>
          <w:szCs w:val="22"/>
          <w:lang w:bidi="he-IL"/>
        </w:rPr>
        <w:t>v</w:t>
      </w:r>
      <w:r w:rsidR="00400B6E">
        <w:rPr>
          <w:rFonts w:eastAsia="SimSun" w:cs="Arial"/>
          <w:sz w:val="22"/>
          <w:szCs w:val="22"/>
          <w:lang w:bidi="he-IL"/>
        </w:rPr>
        <w:t>i</w:t>
      </w:r>
      <w:r w:rsidR="003A475E">
        <w:rPr>
          <w:rFonts w:eastAsia="SimSun" w:cs="Arial"/>
          <w:sz w:val="22"/>
          <w:szCs w:val="22"/>
          <w:lang w:bidi="he-IL"/>
        </w:rPr>
        <w:t>) or (v</w:t>
      </w:r>
      <w:r w:rsidRPr="00584E93">
        <w:rPr>
          <w:rFonts w:eastAsia="SimSun" w:cs="Arial"/>
          <w:sz w:val="22"/>
          <w:szCs w:val="22"/>
          <w:lang w:bidi="he-IL"/>
        </w:rPr>
        <w:t>iii)</w:t>
      </w:r>
      <w:r w:rsidR="003A475E">
        <w:rPr>
          <w:rFonts w:eastAsia="SimSun" w:cs="Arial"/>
          <w:sz w:val="22"/>
          <w:szCs w:val="22"/>
          <w:lang w:bidi="he-IL"/>
        </w:rPr>
        <w:t xml:space="preserve"> of this Contrac</w:t>
      </w:r>
      <w:r w:rsidR="00F107E8">
        <w:rPr>
          <w:rFonts w:eastAsia="SimSun" w:cs="Arial"/>
          <w:sz w:val="22"/>
          <w:szCs w:val="22"/>
          <w:lang w:bidi="he-IL"/>
        </w:rPr>
        <w:t>t,</w:t>
      </w:r>
      <w:r w:rsidR="00F107E8" w:rsidRPr="00F107E8">
        <w:rPr>
          <w:rFonts w:eastAsia="SimSun"/>
          <w:sz w:val="22"/>
          <w:szCs w:val="22"/>
        </w:rPr>
        <w:t xml:space="preserve"> </w:t>
      </w:r>
      <w:r w:rsidR="00F107E8" w:rsidRPr="00F107E8">
        <w:rPr>
          <w:rFonts w:eastAsia="SimSun" w:cs="Arial"/>
          <w:sz w:val="22"/>
          <w:szCs w:val="22"/>
          <w:lang w:bidi="he-IL"/>
        </w:rPr>
        <w:t xml:space="preserve">provided, that </w:t>
      </w:r>
      <w:r w:rsidR="00766AB5" w:rsidRPr="00766AB5">
        <w:rPr>
          <w:rFonts w:eastAsia="SimSun" w:cs="Arial"/>
          <w:sz w:val="22"/>
          <w:szCs w:val="22"/>
          <w:lang w:bidi="he-IL"/>
        </w:rPr>
        <w:t xml:space="preserve">the following additional </w:t>
      </w:r>
      <w:r w:rsidR="00766AB5" w:rsidRPr="00766AB5">
        <w:rPr>
          <w:rFonts w:eastAsia="SimSun" w:cs="Arial"/>
          <w:sz w:val="22"/>
          <w:szCs w:val="22"/>
          <w:u w:val="single"/>
          <w:lang w:bidi="he-IL"/>
        </w:rPr>
        <w:t>Commercial Provisions</w:t>
      </w:r>
      <w:r w:rsidR="00766AB5" w:rsidRPr="00766AB5">
        <w:rPr>
          <w:rFonts w:eastAsia="SimSun" w:cs="Arial"/>
          <w:sz w:val="22"/>
          <w:szCs w:val="22"/>
          <w:lang w:bidi="he-IL"/>
        </w:rPr>
        <w:t xml:space="preserve"> are required</w:t>
      </w:r>
      <w:r w:rsidR="00F107E8" w:rsidRPr="00F107E8">
        <w:rPr>
          <w:rFonts w:eastAsia="SimSun" w:cs="Arial"/>
          <w:sz w:val="22"/>
          <w:szCs w:val="22"/>
          <w:lang w:bidi="he-IL"/>
        </w:rPr>
        <w:t>: None</w:t>
      </w:r>
      <w:r w:rsidRPr="00584E93">
        <w:rPr>
          <w:rFonts w:eastAsia="Calibri" w:cs="Arial"/>
          <w:sz w:val="22"/>
          <w:szCs w:val="22"/>
          <w:lang w:bidi="he-IL"/>
        </w:rPr>
        <w:t>;</w:t>
      </w:r>
    </w:p>
    <w:bookmarkEnd w:id="5"/>
    <w:p w:rsidR="00A12C80" w:rsidRPr="00A12C80" w:rsidRDefault="00A12C80" w:rsidP="00A12C80">
      <w:pPr>
        <w:ind w:left="1440" w:hanging="720"/>
        <w:rPr>
          <w:sz w:val="22"/>
          <w:szCs w:val="22"/>
          <w:lang w:eastAsia="zh-CN"/>
        </w:rPr>
      </w:pPr>
    </w:p>
    <w:p w:rsidR="00A12C80" w:rsidRPr="00A12C80" w:rsidRDefault="001B288C" w:rsidP="00F107E8">
      <w:pPr>
        <w:ind w:left="2160" w:hanging="720"/>
        <w:rPr>
          <w:sz w:val="22"/>
          <w:szCs w:val="22"/>
          <w:lang w:eastAsia="zh-CN"/>
        </w:rPr>
      </w:pPr>
      <w:r>
        <w:rPr>
          <w:sz w:val="22"/>
          <w:szCs w:val="22"/>
          <w:lang w:eastAsia="zh-CN"/>
        </w:rPr>
        <w:t>(ii</w:t>
      </w:r>
      <w:r w:rsidRPr="00A12C80">
        <w:rPr>
          <w:sz w:val="22"/>
          <w:szCs w:val="22"/>
          <w:lang w:eastAsia="zh-CN"/>
        </w:rPr>
        <w:t>)</w:t>
      </w:r>
      <w:r w:rsidRPr="00A12C80">
        <w:rPr>
          <w:sz w:val="22"/>
          <w:szCs w:val="22"/>
          <w:lang w:eastAsia="zh-CN"/>
        </w:rPr>
        <w:tab/>
      </w:r>
      <w:r w:rsidRPr="00A12C80">
        <w:rPr>
          <w:sz w:val="22"/>
          <w:szCs w:val="22"/>
          <w:u w:val="single"/>
          <w:lang w:eastAsia="zh-CN"/>
        </w:rPr>
        <w:t xml:space="preserve">Additional </w:t>
      </w:r>
      <w:r w:rsidRPr="00A12C80">
        <w:rPr>
          <w:sz w:val="22"/>
          <w:szCs w:val="22"/>
          <w:u w:val="single"/>
          <w:lang w:eastAsia="zh-CN"/>
        </w:rPr>
        <w:t>Creditor Protection Events of Default for Supported QFCs under Section 252.84(f) of the FRB Rules, Section 382.4(f) of the FDIC Rules, and Section 47.5(f) of the OCC Rules of the Creditor Protection Provisions of the QFC Stay Rules</w:t>
      </w:r>
      <w:r w:rsidRPr="00A12C80">
        <w:rPr>
          <w:sz w:val="22"/>
          <w:szCs w:val="22"/>
          <w:lang w:eastAsia="zh-CN"/>
        </w:rPr>
        <w:t xml:space="preserve">.  </w:t>
      </w:r>
    </w:p>
    <w:p w:rsidR="00A12C80" w:rsidRDefault="00A12C80" w:rsidP="00A12C80">
      <w:pPr>
        <w:ind w:left="1440" w:hanging="720"/>
        <w:rPr>
          <w:sz w:val="22"/>
          <w:szCs w:val="22"/>
          <w:lang w:eastAsia="zh-CN"/>
        </w:rPr>
      </w:pPr>
    </w:p>
    <w:p w:rsidR="00BC18D1" w:rsidRPr="004A334C" w:rsidRDefault="001B288C" w:rsidP="00F107E8">
      <w:pPr>
        <w:spacing w:after="240"/>
        <w:ind w:left="2880" w:hanging="720"/>
        <w:outlineLvl w:val="2"/>
        <w:rPr>
          <w:rFonts w:eastAsia="SimSun"/>
          <w:bCs/>
          <w:sz w:val="22"/>
          <w:szCs w:val="22"/>
          <w:lang w:bidi="he-IL"/>
        </w:rPr>
      </w:pPr>
      <w:r w:rsidRPr="004A334C">
        <w:rPr>
          <w:rFonts w:eastAsia="SimSun"/>
          <w:bCs/>
          <w:sz w:val="22"/>
          <w:szCs w:val="22"/>
          <w:lang w:eastAsia="zh-CN" w:bidi="he-IL"/>
        </w:rPr>
        <w:t>(1)</w:t>
      </w:r>
      <w:r w:rsidRPr="004A334C">
        <w:rPr>
          <w:rFonts w:eastAsia="SimSun"/>
          <w:bCs/>
          <w:sz w:val="22"/>
          <w:szCs w:val="22"/>
          <w:lang w:eastAsia="zh-CN" w:bidi="he-IL"/>
        </w:rPr>
        <w:tab/>
      </w:r>
      <w:r w:rsidRPr="004A334C">
        <w:rPr>
          <w:rFonts w:eastAsia="SimSun"/>
          <w:bCs/>
          <w:sz w:val="22"/>
          <w:szCs w:val="22"/>
          <w:u w:val="single"/>
          <w:lang w:eastAsia="zh-CN" w:bidi="he-IL"/>
        </w:rPr>
        <w:t>CPP Event of Def</w:t>
      </w:r>
      <w:r w:rsidRPr="004A334C">
        <w:rPr>
          <w:rFonts w:eastAsia="SimSun"/>
          <w:bCs/>
          <w:sz w:val="22"/>
          <w:szCs w:val="22"/>
          <w:u w:val="single"/>
          <w:lang w:eastAsia="zh-CN" w:bidi="he-IL"/>
        </w:rPr>
        <w:t>ault</w:t>
      </w:r>
      <w:r w:rsidRPr="004A334C">
        <w:rPr>
          <w:rFonts w:eastAsia="SimSun"/>
          <w:bCs/>
          <w:sz w:val="22"/>
          <w:szCs w:val="22"/>
          <w:lang w:eastAsia="zh-CN" w:bidi="he-IL"/>
        </w:rPr>
        <w:t xml:space="preserve">:  </w:t>
      </w:r>
      <w:r w:rsidRPr="00C80B78">
        <w:rPr>
          <w:rFonts w:eastAsia="SimSun"/>
          <w:bCs/>
          <w:sz w:val="22"/>
          <w:szCs w:val="22"/>
          <w:lang w:eastAsia="zh-CN" w:bidi="he-IL"/>
        </w:rPr>
        <w:t xml:space="preserve">after the QFC Stay Period that is related directly or indirectly to the </w:t>
      </w:r>
      <w:r w:rsidR="00936B7B">
        <w:rPr>
          <w:rFonts w:eastAsia="SimSun"/>
          <w:bCs/>
          <w:sz w:val="22"/>
          <w:szCs w:val="22"/>
          <w:lang w:eastAsia="zh-CN" w:bidi="he-IL"/>
        </w:rPr>
        <w:t xml:space="preserve">Guarantor of Party A’s obligations, as the </w:t>
      </w:r>
      <w:r w:rsidRPr="00C80B78">
        <w:rPr>
          <w:rFonts w:eastAsia="SimSun"/>
          <w:bCs/>
          <w:sz w:val="22"/>
          <w:szCs w:val="22"/>
          <w:lang w:eastAsia="zh-CN" w:bidi="he-IL"/>
        </w:rPr>
        <w:t>Covered Affiliate Support Provider</w:t>
      </w:r>
      <w:r w:rsidR="00936B7B">
        <w:rPr>
          <w:rFonts w:eastAsia="SimSun"/>
          <w:bCs/>
          <w:sz w:val="22"/>
          <w:szCs w:val="22"/>
          <w:lang w:eastAsia="zh-CN" w:bidi="he-IL"/>
        </w:rPr>
        <w:t>,</w:t>
      </w:r>
      <w:r w:rsidRPr="00C80B78">
        <w:rPr>
          <w:rFonts w:eastAsia="SimSun"/>
          <w:bCs/>
          <w:sz w:val="22"/>
          <w:szCs w:val="22"/>
          <w:lang w:eastAsia="zh-CN" w:bidi="he-IL"/>
        </w:rPr>
        <w:t xml:space="preserve"> becoming subject to an Insolvency </w:t>
      </w:r>
      <w:r w:rsidRPr="00C80B78">
        <w:rPr>
          <w:rFonts w:eastAsia="SimSun"/>
          <w:bCs/>
          <w:sz w:val="22"/>
          <w:szCs w:val="22"/>
          <w:lang w:eastAsia="zh-CN" w:bidi="he-IL"/>
        </w:rPr>
        <w:lastRenderedPageBreak/>
        <w:t>Proceeding</w:t>
      </w:r>
      <w:r>
        <w:rPr>
          <w:rFonts w:eastAsia="SimSun"/>
          <w:bCs/>
          <w:sz w:val="22"/>
          <w:szCs w:val="22"/>
          <w:lang w:eastAsia="zh-CN" w:bidi="he-IL"/>
        </w:rPr>
        <w:t xml:space="preserve">, </w:t>
      </w:r>
      <w:r w:rsidRPr="004A334C">
        <w:rPr>
          <w:rFonts w:eastAsia="SimSun"/>
          <w:bCs/>
          <w:sz w:val="22"/>
          <w:szCs w:val="22"/>
          <w:lang w:eastAsia="zh-CN" w:bidi="he-IL"/>
        </w:rPr>
        <w:t xml:space="preserve">the </w:t>
      </w:r>
      <w:r w:rsidR="00A15957">
        <w:rPr>
          <w:rFonts w:eastAsia="SimSun"/>
          <w:bCs/>
          <w:sz w:val="22"/>
          <w:szCs w:val="22"/>
          <w:lang w:eastAsia="zh-CN" w:bidi="he-IL"/>
        </w:rPr>
        <w:t>Guarantor of Party A’s obligations under the Contract</w:t>
      </w:r>
      <w:r>
        <w:rPr>
          <w:rFonts w:eastAsia="SimSun"/>
          <w:bCs/>
          <w:sz w:val="22"/>
          <w:szCs w:val="22"/>
          <w:lang w:eastAsia="zh-CN" w:bidi="he-IL"/>
        </w:rPr>
        <w:t xml:space="preserve">, as the </w:t>
      </w:r>
      <w:r w:rsidRPr="004A334C">
        <w:rPr>
          <w:rFonts w:eastAsia="SimSun"/>
          <w:bCs/>
          <w:sz w:val="22"/>
          <w:szCs w:val="22"/>
          <w:lang w:eastAsia="zh-CN" w:bidi="he-IL"/>
        </w:rPr>
        <w:t>Covered Affiliate Support Provider</w:t>
      </w:r>
      <w:r>
        <w:rPr>
          <w:rFonts w:eastAsia="SimSun"/>
          <w:bCs/>
          <w:sz w:val="22"/>
          <w:szCs w:val="22"/>
          <w:lang w:eastAsia="zh-CN" w:bidi="he-IL"/>
        </w:rPr>
        <w:t>,</w:t>
      </w:r>
      <w:r w:rsidRPr="004A334C">
        <w:rPr>
          <w:rFonts w:eastAsia="SimSun"/>
          <w:bCs/>
          <w:sz w:val="22"/>
          <w:szCs w:val="22"/>
          <w:lang w:eastAsia="zh-CN" w:bidi="he-IL"/>
        </w:rPr>
        <w:t xml:space="preserve"> </w:t>
      </w:r>
      <w:r w:rsidRPr="004A334C">
        <w:rPr>
          <w:rFonts w:eastAsia="SimSun"/>
          <w:bCs/>
          <w:sz w:val="22"/>
          <w:szCs w:val="22"/>
          <w:lang w:bidi="he-IL"/>
        </w:rPr>
        <w:t xml:space="preserve">that remains obligated under </w:t>
      </w:r>
      <w:r w:rsidR="00936B7B">
        <w:rPr>
          <w:rFonts w:eastAsia="SimSun"/>
          <w:bCs/>
          <w:sz w:val="22"/>
          <w:szCs w:val="22"/>
          <w:lang w:bidi="he-IL"/>
        </w:rPr>
        <w:t xml:space="preserve">any </w:t>
      </w:r>
      <w:r>
        <w:rPr>
          <w:rFonts w:eastAsia="SimSun"/>
          <w:bCs/>
          <w:sz w:val="22"/>
          <w:szCs w:val="22"/>
          <w:lang w:bidi="he-IL"/>
        </w:rPr>
        <w:t xml:space="preserve">Credit Support </w:t>
      </w:r>
      <w:r w:rsidR="00936B7B">
        <w:rPr>
          <w:rFonts w:eastAsia="SimSun"/>
          <w:bCs/>
          <w:sz w:val="22"/>
          <w:szCs w:val="22"/>
          <w:lang w:bidi="he-IL"/>
        </w:rPr>
        <w:t>Obligation</w:t>
      </w:r>
      <w:r>
        <w:rPr>
          <w:rFonts w:eastAsia="SimSun"/>
          <w:bCs/>
          <w:sz w:val="22"/>
          <w:szCs w:val="22"/>
          <w:lang w:bidi="he-IL"/>
        </w:rPr>
        <w:t xml:space="preserve">, as the </w:t>
      </w:r>
      <w:r w:rsidRPr="004A334C">
        <w:rPr>
          <w:rFonts w:eastAsia="SimSun"/>
          <w:bCs/>
          <w:sz w:val="22"/>
          <w:szCs w:val="22"/>
          <w:lang w:bidi="he-IL"/>
        </w:rPr>
        <w:t>Covered Affiliate Credit Enhancement</w:t>
      </w:r>
      <w:r>
        <w:rPr>
          <w:rFonts w:eastAsia="SimSun"/>
          <w:bCs/>
          <w:sz w:val="22"/>
          <w:szCs w:val="22"/>
          <w:lang w:bidi="he-IL"/>
        </w:rPr>
        <w:t>,</w:t>
      </w:r>
      <w:r w:rsidRPr="004A334C">
        <w:rPr>
          <w:rFonts w:eastAsia="SimSun"/>
          <w:bCs/>
          <w:sz w:val="22"/>
          <w:szCs w:val="22"/>
          <w:lang w:bidi="he-IL"/>
        </w:rPr>
        <w:t xml:space="preserve"> becomes subject to an Insolvency Proceeding</w:t>
      </w:r>
      <w:r w:rsidRPr="004A334C">
        <w:rPr>
          <w:rFonts w:eastAsia="SimSun"/>
          <w:bCs/>
          <w:sz w:val="22"/>
          <w:szCs w:val="22"/>
          <w:lang w:eastAsia="zh-CN" w:bidi="he-IL"/>
        </w:rPr>
        <w:t xml:space="preserve"> other than a Chapter 11 proceeding </w:t>
      </w:r>
      <w:r w:rsidRPr="004A334C">
        <w:rPr>
          <w:rFonts w:eastAsia="SimSun"/>
          <w:bCs/>
          <w:sz w:val="22"/>
          <w:szCs w:val="22"/>
          <w:lang w:bidi="he-IL"/>
        </w:rPr>
        <w:t>(as designated in S</w:t>
      </w:r>
      <w:r w:rsidRPr="004A334C">
        <w:rPr>
          <w:rFonts w:eastAsia="SimSun"/>
          <w:bCs/>
          <w:sz w:val="22"/>
          <w:szCs w:val="22"/>
          <w:lang w:bidi="he-IL"/>
        </w:rPr>
        <w:t>ection 252.84(f)(1) of the FRB Rules, Section 382.4(f)(1) of the FDIC Rules, and Section 47.5(f)(1) of the OCC Rules); and</w:t>
      </w:r>
    </w:p>
    <w:p w:rsidR="00BC18D1" w:rsidRPr="004A334C" w:rsidRDefault="001B288C" w:rsidP="00F107E8">
      <w:pPr>
        <w:spacing w:after="240"/>
        <w:ind w:left="2880"/>
        <w:outlineLvl w:val="2"/>
        <w:rPr>
          <w:rFonts w:eastAsia="SimSun"/>
          <w:sz w:val="22"/>
          <w:szCs w:val="22"/>
          <w:lang w:bidi="he-IL"/>
        </w:rPr>
      </w:pPr>
      <w:r w:rsidRPr="004A334C">
        <w:rPr>
          <w:rFonts w:eastAsia="SimSun"/>
          <w:bCs/>
          <w:sz w:val="22"/>
          <w:szCs w:val="22"/>
          <w:u w:val="single"/>
          <w:lang w:bidi="he-IL"/>
        </w:rPr>
        <w:t>Corresponding Event of Default</w:t>
      </w:r>
      <w:r w:rsidRPr="004A334C">
        <w:rPr>
          <w:rFonts w:eastAsia="SimSun"/>
          <w:bCs/>
          <w:sz w:val="22"/>
          <w:szCs w:val="22"/>
          <w:lang w:bidi="he-IL"/>
        </w:rPr>
        <w:t xml:space="preserve">:  an Event of Default with respect to </w:t>
      </w:r>
      <w:r>
        <w:rPr>
          <w:rFonts w:eastAsia="SimSun"/>
          <w:bCs/>
          <w:sz w:val="22"/>
          <w:szCs w:val="22"/>
          <w:lang w:bidi="he-IL"/>
        </w:rPr>
        <w:t xml:space="preserve">Party A, as </w:t>
      </w:r>
      <w:r w:rsidRPr="004A334C">
        <w:rPr>
          <w:rFonts w:eastAsia="SimSun"/>
          <w:bCs/>
          <w:sz w:val="22"/>
          <w:szCs w:val="22"/>
          <w:lang w:bidi="he-IL"/>
        </w:rPr>
        <w:t>the Direct Party</w:t>
      </w:r>
      <w:r>
        <w:rPr>
          <w:rFonts w:eastAsia="SimSun"/>
          <w:bCs/>
          <w:sz w:val="22"/>
          <w:szCs w:val="22"/>
          <w:lang w:bidi="he-IL"/>
        </w:rPr>
        <w:t>,</w:t>
      </w:r>
      <w:r w:rsidR="00936B7B">
        <w:rPr>
          <w:rFonts w:eastAsia="SimSun"/>
          <w:bCs/>
          <w:sz w:val="22"/>
          <w:szCs w:val="22"/>
          <w:lang w:bidi="he-IL"/>
        </w:rPr>
        <w:t xml:space="preserve"> or </w:t>
      </w:r>
      <w:r>
        <w:rPr>
          <w:rFonts w:eastAsia="SimSun"/>
          <w:bCs/>
          <w:sz w:val="22"/>
          <w:szCs w:val="22"/>
          <w:lang w:bidi="he-IL"/>
        </w:rPr>
        <w:t xml:space="preserve">any </w:t>
      </w:r>
      <w:r w:rsidR="00936B7B">
        <w:rPr>
          <w:rFonts w:eastAsia="SimSun"/>
          <w:bCs/>
          <w:sz w:val="22"/>
          <w:szCs w:val="22"/>
          <w:lang w:bidi="he-IL"/>
        </w:rPr>
        <w:t>Guarantor</w:t>
      </w:r>
      <w:r w:rsidRPr="004A334C">
        <w:rPr>
          <w:rFonts w:eastAsia="SimSun"/>
          <w:bCs/>
          <w:sz w:val="22"/>
          <w:szCs w:val="22"/>
          <w:lang w:bidi="he-IL"/>
        </w:rPr>
        <w:t xml:space="preserve"> </w:t>
      </w:r>
      <w:r>
        <w:rPr>
          <w:rFonts w:eastAsia="SimSun"/>
          <w:bCs/>
          <w:sz w:val="22"/>
          <w:szCs w:val="22"/>
          <w:lang w:bidi="he-IL"/>
        </w:rPr>
        <w:t>of Party A</w:t>
      </w:r>
      <w:r w:rsidR="00936B7B">
        <w:rPr>
          <w:rFonts w:eastAsia="SimSun"/>
          <w:bCs/>
          <w:sz w:val="22"/>
          <w:szCs w:val="22"/>
          <w:lang w:bidi="he-IL"/>
        </w:rPr>
        <w:t>’s obligations,</w:t>
      </w:r>
      <w:r>
        <w:rPr>
          <w:rFonts w:eastAsia="SimSun"/>
          <w:bCs/>
          <w:sz w:val="22"/>
          <w:szCs w:val="22"/>
          <w:lang w:bidi="he-IL"/>
        </w:rPr>
        <w:t xml:space="preserve"> </w:t>
      </w:r>
      <w:r w:rsidRPr="004A334C">
        <w:rPr>
          <w:rFonts w:eastAsia="SimSun"/>
          <w:bCs/>
          <w:sz w:val="22"/>
          <w:szCs w:val="22"/>
          <w:lang w:bidi="he-IL"/>
        </w:rPr>
        <w:t xml:space="preserve">under Section </w:t>
      </w:r>
      <w:r w:rsidR="00936B7B">
        <w:rPr>
          <w:rFonts w:eastAsia="SimSun"/>
          <w:bCs/>
          <w:sz w:val="22"/>
          <w:szCs w:val="22"/>
          <w:lang w:bidi="he-IL"/>
        </w:rPr>
        <w:t>10.2</w:t>
      </w:r>
      <w:r w:rsidRPr="004A334C">
        <w:rPr>
          <w:rFonts w:eastAsia="SimSun"/>
          <w:bCs/>
          <w:sz w:val="22"/>
          <w:szCs w:val="22"/>
          <w:lang w:bidi="he-IL"/>
        </w:rPr>
        <w:t>(</w:t>
      </w:r>
      <w:r w:rsidR="00936B7B">
        <w:rPr>
          <w:rFonts w:eastAsia="SimSun"/>
          <w:bCs/>
          <w:sz w:val="22"/>
          <w:szCs w:val="22"/>
          <w:lang w:bidi="he-IL"/>
        </w:rPr>
        <w:t xml:space="preserve">i) – (v) </w:t>
      </w:r>
      <w:r w:rsidRPr="004A334C">
        <w:rPr>
          <w:rFonts w:eastAsia="SimSun"/>
          <w:bCs/>
          <w:sz w:val="22"/>
          <w:szCs w:val="22"/>
          <w:lang w:bidi="he-IL"/>
        </w:rPr>
        <w:t xml:space="preserve">of </w:t>
      </w:r>
      <w:r>
        <w:rPr>
          <w:rFonts w:eastAsia="SimSun"/>
          <w:bCs/>
          <w:sz w:val="22"/>
          <w:szCs w:val="22"/>
          <w:lang w:bidi="he-IL"/>
        </w:rPr>
        <w:t xml:space="preserve">this </w:t>
      </w:r>
      <w:r w:rsidR="00936B7B">
        <w:rPr>
          <w:rFonts w:eastAsia="SimSun"/>
          <w:bCs/>
          <w:sz w:val="22"/>
          <w:szCs w:val="22"/>
          <w:lang w:bidi="he-IL"/>
        </w:rPr>
        <w:t>Contract</w:t>
      </w:r>
      <w:r w:rsidR="00F107E8">
        <w:rPr>
          <w:rFonts w:eastAsia="SimSun"/>
          <w:bCs/>
          <w:sz w:val="22"/>
          <w:szCs w:val="22"/>
          <w:lang w:bidi="he-IL"/>
        </w:rPr>
        <w:t>,</w:t>
      </w:r>
      <w:r w:rsidR="00F107E8" w:rsidRPr="00F107E8">
        <w:rPr>
          <w:rFonts w:eastAsia="SimSun"/>
          <w:sz w:val="22"/>
          <w:szCs w:val="22"/>
        </w:rPr>
        <w:t xml:space="preserve"> </w:t>
      </w:r>
      <w:r w:rsidR="00F107E8" w:rsidRPr="00F107E8">
        <w:rPr>
          <w:rFonts w:eastAsia="SimSun"/>
          <w:bCs/>
          <w:sz w:val="22"/>
          <w:szCs w:val="22"/>
          <w:lang w:bidi="he-IL"/>
        </w:rPr>
        <w:t>provided, that</w:t>
      </w:r>
      <w:r w:rsidR="00766AB5" w:rsidRPr="00766AB5">
        <w:rPr>
          <w:rFonts w:eastAsia="SimSun"/>
          <w:sz w:val="22"/>
          <w:szCs w:val="22"/>
          <w:lang w:bidi="he-IL"/>
        </w:rPr>
        <w:t xml:space="preserve"> </w:t>
      </w:r>
      <w:r w:rsidR="00766AB5" w:rsidRPr="00766AB5">
        <w:rPr>
          <w:rFonts w:eastAsia="SimSun"/>
          <w:bCs/>
          <w:sz w:val="22"/>
          <w:szCs w:val="22"/>
          <w:lang w:bidi="he-IL"/>
        </w:rPr>
        <w:t xml:space="preserve">the following additional </w:t>
      </w:r>
      <w:r w:rsidR="00766AB5" w:rsidRPr="00766AB5">
        <w:rPr>
          <w:rFonts w:eastAsia="SimSun"/>
          <w:bCs/>
          <w:sz w:val="22"/>
          <w:szCs w:val="22"/>
          <w:u w:val="single"/>
          <w:lang w:bidi="he-IL"/>
        </w:rPr>
        <w:t>Commercial Provisions</w:t>
      </w:r>
      <w:r w:rsidR="00766AB5" w:rsidRPr="00766AB5">
        <w:rPr>
          <w:rFonts w:eastAsia="SimSun"/>
          <w:bCs/>
          <w:sz w:val="22"/>
          <w:szCs w:val="22"/>
          <w:lang w:bidi="he-IL"/>
        </w:rPr>
        <w:t xml:space="preserve"> are required</w:t>
      </w:r>
      <w:r w:rsidR="00F107E8" w:rsidRPr="00F107E8">
        <w:rPr>
          <w:rFonts w:eastAsia="SimSun"/>
          <w:bCs/>
          <w:sz w:val="22"/>
          <w:szCs w:val="22"/>
          <w:lang w:bidi="he-IL"/>
        </w:rPr>
        <w:t>: None</w:t>
      </w:r>
      <w:r w:rsidRPr="004A334C">
        <w:rPr>
          <w:rFonts w:eastAsia="SimSun"/>
          <w:bCs/>
          <w:sz w:val="22"/>
          <w:szCs w:val="22"/>
          <w:lang w:bidi="he-IL"/>
        </w:rPr>
        <w:t>;</w:t>
      </w:r>
    </w:p>
    <w:p w:rsidR="00BC18D1" w:rsidRDefault="00BC18D1" w:rsidP="00F107E8">
      <w:pPr>
        <w:ind w:left="2880" w:hanging="720"/>
        <w:rPr>
          <w:sz w:val="22"/>
          <w:szCs w:val="22"/>
          <w:lang w:eastAsia="zh-CN"/>
        </w:rPr>
      </w:pPr>
    </w:p>
    <w:p w:rsidR="00C84ED2" w:rsidRPr="008002E7" w:rsidRDefault="001B288C" w:rsidP="00F107E8">
      <w:pPr>
        <w:spacing w:after="240"/>
        <w:ind w:left="2880" w:hanging="720"/>
        <w:outlineLvl w:val="2"/>
        <w:rPr>
          <w:rFonts w:eastAsia="SimSun"/>
          <w:bCs/>
          <w:sz w:val="22"/>
          <w:szCs w:val="22"/>
          <w:lang w:bidi="he-IL"/>
        </w:rPr>
      </w:pPr>
      <w:r w:rsidRPr="008002E7">
        <w:rPr>
          <w:rFonts w:eastAsia="SimSun"/>
          <w:bCs/>
          <w:sz w:val="22"/>
          <w:szCs w:val="22"/>
          <w:lang w:bidi="he-IL"/>
        </w:rPr>
        <w:t>(2)</w:t>
      </w:r>
      <w:r w:rsidRPr="008002E7">
        <w:rPr>
          <w:rFonts w:eastAsia="SimSun"/>
          <w:bCs/>
          <w:sz w:val="22"/>
          <w:szCs w:val="22"/>
          <w:lang w:bidi="he-IL"/>
        </w:rPr>
        <w:tab/>
      </w:r>
      <w:r w:rsidRPr="008002E7">
        <w:rPr>
          <w:rFonts w:eastAsia="SimSun"/>
          <w:bCs/>
          <w:sz w:val="22"/>
          <w:szCs w:val="22"/>
          <w:u w:val="single"/>
          <w:lang w:bidi="he-IL"/>
        </w:rPr>
        <w:t>CPP Event of Default</w:t>
      </w:r>
      <w:r w:rsidRPr="008002E7">
        <w:rPr>
          <w:rFonts w:eastAsia="SimSun"/>
          <w:bCs/>
          <w:sz w:val="22"/>
          <w:szCs w:val="22"/>
          <w:lang w:bidi="he-IL"/>
        </w:rPr>
        <w:t xml:space="preserve">:  </w:t>
      </w:r>
      <w:r w:rsidRPr="00C80B78">
        <w:rPr>
          <w:rFonts w:eastAsia="SimSun"/>
          <w:bCs/>
          <w:sz w:val="22"/>
          <w:szCs w:val="22"/>
          <w:lang w:bidi="he-IL"/>
        </w:rPr>
        <w:t xml:space="preserve">after the QFC Stay Period that is related directly or indirectly to the </w:t>
      </w:r>
      <w:r w:rsidR="00E372B6">
        <w:rPr>
          <w:rFonts w:eastAsia="SimSun"/>
          <w:bCs/>
          <w:sz w:val="22"/>
          <w:szCs w:val="22"/>
          <w:lang w:bidi="he-IL"/>
        </w:rPr>
        <w:t xml:space="preserve">Guarantor of Party A’s obligations, as the </w:t>
      </w:r>
      <w:r w:rsidRPr="00C80B78">
        <w:rPr>
          <w:rFonts w:eastAsia="SimSun"/>
          <w:bCs/>
          <w:sz w:val="22"/>
          <w:szCs w:val="22"/>
          <w:lang w:bidi="he-IL"/>
        </w:rPr>
        <w:t>Covered Affiliate Support Provider</w:t>
      </w:r>
      <w:r w:rsidR="00E372B6">
        <w:rPr>
          <w:rFonts w:eastAsia="SimSun"/>
          <w:bCs/>
          <w:sz w:val="22"/>
          <w:szCs w:val="22"/>
          <w:lang w:bidi="he-IL"/>
        </w:rPr>
        <w:t>,</w:t>
      </w:r>
      <w:r w:rsidRPr="00C80B78">
        <w:rPr>
          <w:rFonts w:eastAsia="SimSun"/>
          <w:bCs/>
          <w:sz w:val="22"/>
          <w:szCs w:val="22"/>
          <w:lang w:bidi="he-IL"/>
        </w:rPr>
        <w:t xml:space="preserve"> becoming subject to an Insolvency Proceeding,</w:t>
      </w:r>
      <w:r>
        <w:rPr>
          <w:rFonts w:eastAsia="SimSun"/>
          <w:bCs/>
          <w:sz w:val="22"/>
          <w:szCs w:val="22"/>
          <w:lang w:bidi="he-IL"/>
        </w:rPr>
        <w:t xml:space="preserve"> </w:t>
      </w:r>
      <w:r w:rsidRPr="008002E7">
        <w:rPr>
          <w:rFonts w:eastAsia="SimSun"/>
          <w:bCs/>
          <w:sz w:val="22"/>
          <w:szCs w:val="22"/>
          <w:lang w:bidi="he-IL"/>
        </w:rPr>
        <w:t xml:space="preserve">subject to the terms of </w:t>
      </w:r>
      <w:r>
        <w:rPr>
          <w:rFonts w:eastAsia="SimSun"/>
          <w:bCs/>
          <w:sz w:val="22"/>
          <w:szCs w:val="22"/>
          <w:lang w:bidi="he-IL"/>
        </w:rPr>
        <w:t>S</w:t>
      </w:r>
      <w:r w:rsidR="00E372B6">
        <w:rPr>
          <w:rFonts w:eastAsia="SimSun"/>
          <w:bCs/>
          <w:sz w:val="22"/>
          <w:szCs w:val="22"/>
          <w:lang w:bidi="he-IL"/>
        </w:rPr>
        <w:t>ection 15.[13].4(</w:t>
      </w:r>
      <w:r>
        <w:rPr>
          <w:rFonts w:eastAsia="SimSun"/>
          <w:bCs/>
          <w:sz w:val="22"/>
          <w:szCs w:val="22"/>
          <w:lang w:bidi="he-IL"/>
        </w:rPr>
        <w:t>c)</w:t>
      </w:r>
      <w:r w:rsidRPr="008002E7">
        <w:rPr>
          <w:rFonts w:eastAsia="SimSun"/>
          <w:bCs/>
          <w:sz w:val="22"/>
          <w:szCs w:val="22"/>
          <w:lang w:bidi="he-IL"/>
        </w:rPr>
        <w:t>, the Transferee, if any, becomes subject to an Insolvency Proceeding (as designated in</w:t>
      </w:r>
      <w:r w:rsidRPr="008002E7">
        <w:rPr>
          <w:rFonts w:eastAsia="SimSun"/>
          <w:bCs/>
          <w:sz w:val="22"/>
          <w:szCs w:val="22"/>
          <w:lang w:bidi="he-IL"/>
        </w:rPr>
        <w:t xml:space="preserve"> Section 252.84(f)(2) of the FRB Rules, Section 382.4(f)(2) of the FDIC Rules, and Section 47.5(f)(2) of the OCC Rules); and</w:t>
      </w:r>
    </w:p>
    <w:p w:rsidR="00C84ED2" w:rsidRPr="008002E7" w:rsidRDefault="001B288C" w:rsidP="00F107E8">
      <w:pPr>
        <w:spacing w:after="240"/>
        <w:ind w:left="2880"/>
        <w:outlineLvl w:val="2"/>
        <w:rPr>
          <w:rFonts w:eastAsia="SimSun"/>
          <w:bCs/>
          <w:sz w:val="22"/>
          <w:szCs w:val="22"/>
          <w:lang w:bidi="he-IL"/>
        </w:rPr>
      </w:pPr>
      <w:r w:rsidRPr="008002E7">
        <w:rPr>
          <w:rFonts w:eastAsia="SimSun"/>
          <w:bCs/>
          <w:sz w:val="22"/>
          <w:szCs w:val="22"/>
          <w:u w:val="single"/>
          <w:lang w:bidi="he-IL"/>
        </w:rPr>
        <w:t>Corresponding Event of Default</w:t>
      </w:r>
      <w:r w:rsidRPr="008002E7">
        <w:rPr>
          <w:rFonts w:eastAsia="SimSun"/>
          <w:bCs/>
          <w:sz w:val="22"/>
          <w:szCs w:val="22"/>
          <w:lang w:bidi="he-IL"/>
        </w:rPr>
        <w:t xml:space="preserve">:  an Event of Default with respect to </w:t>
      </w:r>
      <w:r>
        <w:rPr>
          <w:rFonts w:eastAsia="SimSun"/>
          <w:bCs/>
          <w:sz w:val="22"/>
          <w:szCs w:val="22"/>
          <w:lang w:bidi="he-IL"/>
        </w:rPr>
        <w:t xml:space="preserve">Party A, as </w:t>
      </w:r>
      <w:r w:rsidRPr="008002E7">
        <w:rPr>
          <w:rFonts w:eastAsia="SimSun"/>
          <w:bCs/>
          <w:sz w:val="22"/>
          <w:szCs w:val="22"/>
          <w:lang w:bidi="he-IL"/>
        </w:rPr>
        <w:t>the Direct Party</w:t>
      </w:r>
      <w:r>
        <w:rPr>
          <w:rFonts w:eastAsia="SimSun"/>
          <w:bCs/>
          <w:sz w:val="22"/>
          <w:szCs w:val="22"/>
          <w:lang w:bidi="he-IL"/>
        </w:rPr>
        <w:t>,</w:t>
      </w:r>
      <w:r w:rsidRPr="008002E7">
        <w:rPr>
          <w:rFonts w:eastAsia="SimSun"/>
          <w:bCs/>
          <w:sz w:val="22"/>
          <w:szCs w:val="22"/>
          <w:lang w:bidi="he-IL"/>
        </w:rPr>
        <w:t xml:space="preserve"> or </w:t>
      </w:r>
      <w:r w:rsidR="00E372B6">
        <w:rPr>
          <w:rFonts w:eastAsia="SimSun"/>
          <w:bCs/>
          <w:sz w:val="22"/>
          <w:szCs w:val="22"/>
          <w:lang w:bidi="he-IL"/>
        </w:rPr>
        <w:t xml:space="preserve">any Guarantor </w:t>
      </w:r>
      <w:r>
        <w:rPr>
          <w:rFonts w:eastAsia="SimSun"/>
          <w:bCs/>
          <w:sz w:val="22"/>
          <w:szCs w:val="22"/>
          <w:lang w:bidi="he-IL"/>
        </w:rPr>
        <w:t>of Party A</w:t>
      </w:r>
      <w:r w:rsidR="00E372B6">
        <w:rPr>
          <w:rFonts w:eastAsia="SimSun"/>
          <w:bCs/>
          <w:sz w:val="22"/>
          <w:szCs w:val="22"/>
          <w:lang w:bidi="he-IL"/>
        </w:rPr>
        <w:t>’s obligations</w:t>
      </w:r>
      <w:r>
        <w:rPr>
          <w:rFonts w:eastAsia="SimSun"/>
          <w:bCs/>
          <w:sz w:val="22"/>
          <w:szCs w:val="22"/>
          <w:lang w:bidi="he-IL"/>
        </w:rPr>
        <w:t xml:space="preserve"> </w:t>
      </w:r>
      <w:r w:rsidRPr="008002E7">
        <w:rPr>
          <w:rFonts w:eastAsia="SimSun"/>
          <w:bCs/>
          <w:sz w:val="22"/>
          <w:szCs w:val="22"/>
          <w:lang w:bidi="he-IL"/>
        </w:rPr>
        <w:t xml:space="preserve">under Section </w:t>
      </w:r>
      <w:r w:rsidR="00E372B6">
        <w:rPr>
          <w:rFonts w:eastAsia="SimSun"/>
          <w:bCs/>
          <w:sz w:val="22"/>
          <w:szCs w:val="22"/>
          <w:lang w:bidi="he-IL"/>
        </w:rPr>
        <w:t>10.2</w:t>
      </w:r>
      <w:r w:rsidRPr="008002E7">
        <w:rPr>
          <w:rFonts w:eastAsia="SimSun"/>
          <w:bCs/>
          <w:sz w:val="22"/>
          <w:szCs w:val="22"/>
          <w:lang w:bidi="he-IL"/>
        </w:rPr>
        <w:t>(</w:t>
      </w:r>
      <w:r w:rsidR="00E372B6">
        <w:rPr>
          <w:rFonts w:eastAsia="SimSun"/>
          <w:bCs/>
          <w:sz w:val="22"/>
          <w:szCs w:val="22"/>
          <w:lang w:bidi="he-IL"/>
        </w:rPr>
        <w:t>i) – (v)</w:t>
      </w:r>
      <w:r w:rsidRPr="008002E7">
        <w:rPr>
          <w:rFonts w:eastAsia="SimSun"/>
          <w:bCs/>
          <w:sz w:val="22"/>
          <w:szCs w:val="22"/>
          <w:lang w:bidi="he-IL"/>
        </w:rPr>
        <w:t xml:space="preserve"> of </w:t>
      </w:r>
      <w:r>
        <w:rPr>
          <w:rFonts w:eastAsia="SimSun"/>
          <w:bCs/>
          <w:sz w:val="22"/>
          <w:szCs w:val="22"/>
          <w:lang w:bidi="he-IL"/>
        </w:rPr>
        <w:t xml:space="preserve">this </w:t>
      </w:r>
      <w:r w:rsidR="00E372B6">
        <w:rPr>
          <w:rFonts w:eastAsia="SimSun"/>
          <w:bCs/>
          <w:sz w:val="22"/>
          <w:szCs w:val="22"/>
          <w:lang w:bidi="he-IL"/>
        </w:rPr>
        <w:t>Contract</w:t>
      </w:r>
      <w:r w:rsidR="00F107E8">
        <w:rPr>
          <w:rFonts w:eastAsia="SimSun"/>
          <w:bCs/>
          <w:sz w:val="22"/>
          <w:szCs w:val="22"/>
          <w:lang w:bidi="he-IL"/>
        </w:rPr>
        <w:t>,</w:t>
      </w:r>
      <w:r w:rsidR="00F107E8" w:rsidRPr="00F107E8">
        <w:rPr>
          <w:rFonts w:eastAsia="SimSun"/>
          <w:sz w:val="22"/>
          <w:szCs w:val="22"/>
        </w:rPr>
        <w:t xml:space="preserve"> </w:t>
      </w:r>
      <w:r w:rsidR="00F107E8" w:rsidRPr="00F107E8">
        <w:rPr>
          <w:rFonts w:eastAsia="SimSun"/>
          <w:bCs/>
          <w:sz w:val="22"/>
          <w:szCs w:val="22"/>
          <w:lang w:bidi="he-IL"/>
        </w:rPr>
        <w:t xml:space="preserve">provided, that </w:t>
      </w:r>
      <w:r w:rsidR="00766AB5" w:rsidRPr="00766AB5">
        <w:rPr>
          <w:rFonts w:eastAsia="SimSun"/>
          <w:bCs/>
          <w:sz w:val="22"/>
          <w:szCs w:val="22"/>
          <w:lang w:bidi="he-IL"/>
        </w:rPr>
        <w:t xml:space="preserve">the following additional </w:t>
      </w:r>
      <w:r w:rsidR="00766AB5" w:rsidRPr="00766AB5">
        <w:rPr>
          <w:rFonts w:eastAsia="SimSun"/>
          <w:bCs/>
          <w:sz w:val="22"/>
          <w:szCs w:val="22"/>
          <w:u w:val="single"/>
          <w:lang w:bidi="he-IL"/>
        </w:rPr>
        <w:t>Commercial Provisions</w:t>
      </w:r>
      <w:r w:rsidR="00766AB5" w:rsidRPr="00766AB5">
        <w:rPr>
          <w:rFonts w:eastAsia="SimSun"/>
          <w:bCs/>
          <w:sz w:val="22"/>
          <w:szCs w:val="22"/>
          <w:lang w:bidi="he-IL"/>
        </w:rPr>
        <w:t xml:space="preserve"> are required</w:t>
      </w:r>
      <w:r w:rsidR="00F107E8" w:rsidRPr="00F107E8">
        <w:rPr>
          <w:rFonts w:eastAsia="SimSun"/>
          <w:bCs/>
          <w:sz w:val="22"/>
          <w:szCs w:val="22"/>
          <w:lang w:bidi="he-IL"/>
        </w:rPr>
        <w:t>: None</w:t>
      </w:r>
      <w:r w:rsidRPr="008002E7">
        <w:rPr>
          <w:rFonts w:eastAsia="SimSun"/>
          <w:bCs/>
          <w:sz w:val="22"/>
          <w:szCs w:val="22"/>
          <w:lang w:bidi="he-IL"/>
        </w:rPr>
        <w:t>;</w:t>
      </w:r>
    </w:p>
    <w:p w:rsidR="00936B7B" w:rsidRDefault="00936B7B" w:rsidP="00F107E8">
      <w:pPr>
        <w:ind w:left="2880" w:hanging="720"/>
        <w:rPr>
          <w:sz w:val="22"/>
          <w:szCs w:val="22"/>
          <w:lang w:eastAsia="zh-CN"/>
        </w:rPr>
      </w:pPr>
    </w:p>
    <w:p w:rsidR="00E372B6" w:rsidRPr="00EA1C8E" w:rsidRDefault="001B288C" w:rsidP="00F107E8">
      <w:pPr>
        <w:spacing w:after="240"/>
        <w:ind w:left="2880" w:hanging="720"/>
        <w:outlineLvl w:val="2"/>
        <w:rPr>
          <w:rFonts w:eastAsia="SimSun"/>
          <w:bCs/>
          <w:sz w:val="22"/>
          <w:szCs w:val="22"/>
          <w:lang w:bidi="he-IL"/>
        </w:rPr>
      </w:pPr>
      <w:r w:rsidRPr="00EA1C8E">
        <w:rPr>
          <w:rFonts w:eastAsia="SimSun"/>
          <w:bCs/>
          <w:sz w:val="22"/>
          <w:szCs w:val="22"/>
          <w:lang w:bidi="he-IL"/>
        </w:rPr>
        <w:t>(3)</w:t>
      </w:r>
      <w:r w:rsidRPr="00EA1C8E">
        <w:rPr>
          <w:rFonts w:eastAsia="SimSun"/>
          <w:bCs/>
          <w:sz w:val="22"/>
          <w:szCs w:val="22"/>
          <w:lang w:bidi="he-IL"/>
        </w:rPr>
        <w:tab/>
      </w:r>
      <w:r w:rsidRPr="00EA1C8E">
        <w:rPr>
          <w:rFonts w:eastAsia="SimSun"/>
          <w:bCs/>
          <w:sz w:val="22"/>
          <w:szCs w:val="22"/>
          <w:u w:val="single"/>
          <w:lang w:bidi="he-IL"/>
        </w:rPr>
        <w:t>CPP Event of Default</w:t>
      </w:r>
      <w:r w:rsidRPr="00EA1C8E">
        <w:rPr>
          <w:rFonts w:eastAsia="SimSun"/>
          <w:bCs/>
          <w:sz w:val="22"/>
          <w:szCs w:val="22"/>
          <w:lang w:bidi="he-IL"/>
        </w:rPr>
        <w:t xml:space="preserve">:  </w:t>
      </w:r>
      <w:r w:rsidRPr="00C80B78">
        <w:rPr>
          <w:rFonts w:eastAsia="Calibri" w:cs="Arial"/>
          <w:sz w:val="22"/>
          <w:szCs w:val="22"/>
          <w:lang w:eastAsia="zh-CN" w:bidi="he-IL"/>
        </w:rPr>
        <w:t xml:space="preserve">after the QFC Stay Period that is related directly or indirectly to the </w:t>
      </w:r>
      <w:r>
        <w:rPr>
          <w:rFonts w:eastAsia="Calibri" w:cs="Arial"/>
          <w:sz w:val="22"/>
          <w:szCs w:val="22"/>
          <w:lang w:eastAsia="zh-CN" w:bidi="he-IL"/>
        </w:rPr>
        <w:t xml:space="preserve">Guarantor of Party A’s obligations, as the </w:t>
      </w:r>
      <w:r w:rsidRPr="00C80B78">
        <w:rPr>
          <w:rFonts w:eastAsia="Calibri" w:cs="Arial"/>
          <w:sz w:val="22"/>
          <w:szCs w:val="22"/>
          <w:lang w:eastAsia="zh-CN" w:bidi="he-IL"/>
        </w:rPr>
        <w:t>Covered Affiliate Support Provider</w:t>
      </w:r>
      <w:r>
        <w:rPr>
          <w:rFonts w:eastAsia="Calibri" w:cs="Arial"/>
          <w:sz w:val="22"/>
          <w:szCs w:val="22"/>
          <w:lang w:eastAsia="zh-CN" w:bidi="he-IL"/>
        </w:rPr>
        <w:t>,</w:t>
      </w:r>
      <w:r w:rsidRPr="00C80B78">
        <w:rPr>
          <w:rFonts w:eastAsia="Calibri" w:cs="Arial"/>
          <w:sz w:val="22"/>
          <w:szCs w:val="22"/>
          <w:lang w:eastAsia="zh-CN" w:bidi="he-IL"/>
        </w:rPr>
        <w:t xml:space="preserve"> becoming subject to an Insolvency Proceeding,</w:t>
      </w:r>
      <w:r>
        <w:rPr>
          <w:rFonts w:eastAsia="SimSun"/>
          <w:bCs/>
          <w:sz w:val="22"/>
          <w:szCs w:val="22"/>
          <w:lang w:bidi="he-IL"/>
        </w:rPr>
        <w:t xml:space="preserve"> the Guarantor of Party A’s obligations, as the </w:t>
      </w:r>
      <w:r w:rsidRPr="00EA1C8E">
        <w:rPr>
          <w:rFonts w:eastAsia="SimSun"/>
          <w:bCs/>
          <w:sz w:val="22"/>
          <w:szCs w:val="22"/>
          <w:lang w:bidi="he-IL"/>
        </w:rPr>
        <w:t>Covered Affiliate Support Provider</w:t>
      </w:r>
      <w:r>
        <w:rPr>
          <w:rFonts w:eastAsia="SimSun"/>
          <w:bCs/>
          <w:sz w:val="22"/>
          <w:szCs w:val="22"/>
          <w:lang w:bidi="he-IL"/>
        </w:rPr>
        <w:t>,</w:t>
      </w:r>
      <w:r w:rsidRPr="00EA1C8E">
        <w:rPr>
          <w:rFonts w:eastAsia="SimSun"/>
          <w:bCs/>
          <w:sz w:val="22"/>
          <w:szCs w:val="22"/>
          <w:lang w:bidi="he-IL"/>
        </w:rPr>
        <w:t xml:space="preserve"> does not remain, and a Transferee does not become, obligated to the same, or substantially similar, extent as the </w:t>
      </w:r>
      <w:r w:rsidR="00551A11">
        <w:rPr>
          <w:rFonts w:eastAsia="SimSun"/>
          <w:bCs/>
          <w:sz w:val="22"/>
          <w:szCs w:val="22"/>
          <w:lang w:bidi="he-IL"/>
        </w:rPr>
        <w:t>Guarantor of Party A’s obligations</w:t>
      </w:r>
      <w:r>
        <w:rPr>
          <w:rFonts w:eastAsia="SimSun"/>
          <w:bCs/>
          <w:sz w:val="22"/>
          <w:szCs w:val="22"/>
          <w:lang w:bidi="he-IL"/>
        </w:rPr>
        <w:t xml:space="preserve">, as the </w:t>
      </w:r>
      <w:r w:rsidRPr="00EA1C8E">
        <w:rPr>
          <w:rFonts w:eastAsia="SimSun"/>
          <w:bCs/>
          <w:sz w:val="22"/>
          <w:szCs w:val="22"/>
          <w:lang w:bidi="he-IL"/>
        </w:rPr>
        <w:t>Covered Affiliate Support Provider</w:t>
      </w:r>
      <w:r>
        <w:rPr>
          <w:rFonts w:eastAsia="SimSun"/>
          <w:bCs/>
          <w:sz w:val="22"/>
          <w:szCs w:val="22"/>
          <w:lang w:bidi="he-IL"/>
        </w:rPr>
        <w:t>,</w:t>
      </w:r>
      <w:r w:rsidRPr="00EA1C8E">
        <w:rPr>
          <w:rFonts w:eastAsia="SimSun"/>
          <w:bCs/>
          <w:sz w:val="22"/>
          <w:szCs w:val="22"/>
          <w:lang w:bidi="he-IL"/>
        </w:rPr>
        <w:t xml:space="preserve"> was obligated immediately prior to entering such Insolvency Pr</w:t>
      </w:r>
      <w:r w:rsidRPr="00EA1C8E">
        <w:rPr>
          <w:rFonts w:eastAsia="SimSun"/>
          <w:bCs/>
          <w:sz w:val="22"/>
          <w:szCs w:val="22"/>
          <w:lang w:bidi="he-IL"/>
        </w:rPr>
        <w:t xml:space="preserve">oceeding with respect to </w:t>
      </w:r>
      <w:r w:rsidR="00551A11">
        <w:rPr>
          <w:rFonts w:eastAsia="SimSun"/>
          <w:bCs/>
          <w:sz w:val="22"/>
          <w:szCs w:val="22"/>
          <w:lang w:bidi="he-IL"/>
        </w:rPr>
        <w:t>any Credit Support Obligations</w:t>
      </w:r>
      <w:r>
        <w:rPr>
          <w:rFonts w:eastAsia="SimSun"/>
          <w:bCs/>
          <w:sz w:val="22"/>
          <w:szCs w:val="22"/>
          <w:lang w:bidi="he-IL"/>
        </w:rPr>
        <w:t xml:space="preserve">, as the </w:t>
      </w:r>
      <w:r w:rsidRPr="00EA1C8E">
        <w:rPr>
          <w:rFonts w:eastAsia="SimSun"/>
          <w:bCs/>
          <w:sz w:val="22"/>
          <w:szCs w:val="22"/>
          <w:lang w:bidi="he-IL"/>
        </w:rPr>
        <w:t>Covered Affiliate Credit Enhancement (as designated in Section 252.84(f)(3)(i) of the FRB Rules, Section 382.4(f)(3)(i) of the FDIC Rules, and Section 47.5(f)(3)(i) of the OCC Rules); and</w:t>
      </w:r>
    </w:p>
    <w:p w:rsidR="00E372B6" w:rsidRPr="00EA1C8E" w:rsidRDefault="001B288C" w:rsidP="00F107E8">
      <w:pPr>
        <w:spacing w:after="240"/>
        <w:ind w:left="2880"/>
        <w:outlineLvl w:val="2"/>
        <w:rPr>
          <w:rFonts w:eastAsia="SimSun"/>
          <w:sz w:val="22"/>
          <w:szCs w:val="22"/>
          <w:lang w:bidi="he-IL"/>
        </w:rPr>
      </w:pPr>
      <w:r w:rsidRPr="00EA1C8E">
        <w:rPr>
          <w:rFonts w:eastAsia="SimSun"/>
          <w:bCs/>
          <w:sz w:val="22"/>
          <w:szCs w:val="22"/>
          <w:u w:val="single"/>
          <w:lang w:bidi="he-IL"/>
        </w:rPr>
        <w:t>Corresponding Event of Default</w:t>
      </w:r>
      <w:r w:rsidRPr="00EA1C8E">
        <w:rPr>
          <w:rFonts w:eastAsia="SimSun"/>
          <w:bCs/>
          <w:sz w:val="22"/>
          <w:szCs w:val="22"/>
          <w:lang w:bidi="he-IL"/>
        </w:rPr>
        <w:t xml:space="preserve">:  an Event of Default with respect to </w:t>
      </w:r>
      <w:r>
        <w:rPr>
          <w:rFonts w:eastAsia="SimSun"/>
          <w:bCs/>
          <w:sz w:val="22"/>
          <w:szCs w:val="22"/>
          <w:lang w:bidi="he-IL"/>
        </w:rPr>
        <w:t xml:space="preserve">Party A, as </w:t>
      </w:r>
      <w:r w:rsidRPr="00EA1C8E">
        <w:rPr>
          <w:rFonts w:eastAsia="SimSun"/>
          <w:bCs/>
          <w:sz w:val="22"/>
          <w:szCs w:val="22"/>
          <w:lang w:bidi="he-IL"/>
        </w:rPr>
        <w:t>the Direct Party</w:t>
      </w:r>
      <w:r>
        <w:rPr>
          <w:rFonts w:eastAsia="SimSun"/>
          <w:bCs/>
          <w:sz w:val="22"/>
          <w:szCs w:val="22"/>
          <w:lang w:bidi="he-IL"/>
        </w:rPr>
        <w:t>,</w:t>
      </w:r>
      <w:r w:rsidRPr="00EA1C8E">
        <w:rPr>
          <w:rFonts w:eastAsia="SimSun"/>
          <w:bCs/>
          <w:sz w:val="22"/>
          <w:szCs w:val="22"/>
          <w:lang w:bidi="he-IL"/>
        </w:rPr>
        <w:t xml:space="preserve"> or </w:t>
      </w:r>
      <w:r w:rsidR="00551A11">
        <w:rPr>
          <w:rFonts w:eastAsia="SimSun"/>
          <w:bCs/>
          <w:sz w:val="22"/>
          <w:szCs w:val="22"/>
          <w:lang w:bidi="he-IL"/>
        </w:rPr>
        <w:t>the Guarantor of Party A’s obligations</w:t>
      </w:r>
      <w:r w:rsidR="00076EAB">
        <w:rPr>
          <w:rFonts w:eastAsia="SimSun"/>
          <w:bCs/>
          <w:sz w:val="22"/>
          <w:szCs w:val="22"/>
          <w:lang w:bidi="he-IL"/>
        </w:rPr>
        <w:t xml:space="preserve"> under Section 10.2(vi) of this Contract</w:t>
      </w:r>
      <w:r w:rsidR="00F107E8">
        <w:rPr>
          <w:rFonts w:eastAsia="SimSun"/>
          <w:bCs/>
          <w:sz w:val="22"/>
          <w:szCs w:val="22"/>
          <w:lang w:bidi="he-IL"/>
        </w:rPr>
        <w:t>,</w:t>
      </w:r>
      <w:r w:rsidR="00F107E8" w:rsidRPr="00F107E8">
        <w:rPr>
          <w:rFonts w:eastAsia="SimSun"/>
          <w:sz w:val="22"/>
          <w:szCs w:val="22"/>
        </w:rPr>
        <w:t xml:space="preserve"> </w:t>
      </w:r>
      <w:r w:rsidR="006A64E4">
        <w:rPr>
          <w:rFonts w:eastAsia="SimSun"/>
          <w:bCs/>
          <w:sz w:val="22"/>
          <w:szCs w:val="22"/>
          <w:lang w:bidi="he-IL"/>
        </w:rPr>
        <w:t>provided, that</w:t>
      </w:r>
      <w:r w:rsidR="00766AB5" w:rsidRPr="00766AB5">
        <w:rPr>
          <w:rFonts w:eastAsia="SimSun"/>
          <w:sz w:val="22"/>
          <w:szCs w:val="22"/>
          <w:lang w:bidi="he-IL"/>
        </w:rPr>
        <w:t xml:space="preserve"> </w:t>
      </w:r>
      <w:r w:rsidR="00766AB5" w:rsidRPr="00766AB5">
        <w:rPr>
          <w:rFonts w:eastAsia="SimSun"/>
          <w:bCs/>
          <w:sz w:val="22"/>
          <w:szCs w:val="22"/>
          <w:lang w:bidi="he-IL"/>
        </w:rPr>
        <w:t xml:space="preserve">the following additional </w:t>
      </w:r>
      <w:r w:rsidR="00766AB5" w:rsidRPr="00766AB5">
        <w:rPr>
          <w:rFonts w:eastAsia="SimSun"/>
          <w:bCs/>
          <w:sz w:val="22"/>
          <w:szCs w:val="22"/>
          <w:u w:val="single"/>
          <w:lang w:bidi="he-IL"/>
        </w:rPr>
        <w:t>Commercial Provisions</w:t>
      </w:r>
      <w:r w:rsidR="00766AB5" w:rsidRPr="00766AB5">
        <w:rPr>
          <w:rFonts w:eastAsia="SimSun"/>
          <w:bCs/>
          <w:sz w:val="22"/>
          <w:szCs w:val="22"/>
          <w:lang w:bidi="he-IL"/>
        </w:rPr>
        <w:t xml:space="preserve"> are required</w:t>
      </w:r>
      <w:r w:rsidR="00F107E8" w:rsidRPr="00F107E8">
        <w:rPr>
          <w:rFonts w:eastAsia="SimSun"/>
          <w:bCs/>
          <w:sz w:val="22"/>
          <w:szCs w:val="22"/>
          <w:lang w:bidi="he-IL"/>
        </w:rPr>
        <w:t>: None</w:t>
      </w:r>
      <w:r w:rsidRPr="00EA1C8E">
        <w:rPr>
          <w:rFonts w:eastAsia="SimSun"/>
          <w:bCs/>
          <w:sz w:val="22"/>
          <w:szCs w:val="22"/>
          <w:lang w:bidi="he-IL"/>
        </w:rPr>
        <w:t>;</w:t>
      </w:r>
    </w:p>
    <w:p w:rsidR="00936B7B" w:rsidRDefault="00936B7B" w:rsidP="00F107E8">
      <w:pPr>
        <w:ind w:left="2880" w:hanging="720"/>
        <w:rPr>
          <w:sz w:val="22"/>
          <w:szCs w:val="22"/>
          <w:lang w:eastAsia="zh-CN"/>
        </w:rPr>
      </w:pPr>
    </w:p>
    <w:p w:rsidR="00076EAB" w:rsidRPr="00EA1C8E" w:rsidRDefault="001B288C" w:rsidP="00F107E8">
      <w:pPr>
        <w:spacing w:after="240"/>
        <w:ind w:left="2880" w:hanging="720"/>
        <w:outlineLvl w:val="2"/>
        <w:rPr>
          <w:rFonts w:eastAsia="SimSun"/>
          <w:bCs/>
          <w:sz w:val="22"/>
          <w:szCs w:val="22"/>
          <w:lang w:bidi="he-IL"/>
        </w:rPr>
      </w:pPr>
      <w:r w:rsidRPr="00EA1C8E">
        <w:rPr>
          <w:rFonts w:eastAsia="SimSun"/>
          <w:bCs/>
          <w:sz w:val="22"/>
          <w:szCs w:val="22"/>
          <w:lang w:bidi="he-IL"/>
        </w:rPr>
        <w:t>(4)</w:t>
      </w:r>
      <w:r w:rsidRPr="00EA1C8E">
        <w:rPr>
          <w:rFonts w:eastAsia="SimSun"/>
          <w:bCs/>
          <w:sz w:val="22"/>
          <w:szCs w:val="22"/>
          <w:lang w:bidi="he-IL"/>
        </w:rPr>
        <w:tab/>
      </w:r>
      <w:r w:rsidRPr="00EA1C8E">
        <w:rPr>
          <w:rFonts w:eastAsia="SimSun"/>
          <w:bCs/>
          <w:sz w:val="22"/>
          <w:szCs w:val="22"/>
          <w:u w:val="single"/>
          <w:lang w:bidi="he-IL"/>
        </w:rPr>
        <w:t>CPP Event of Default</w:t>
      </w:r>
      <w:r w:rsidRPr="00EA1C8E">
        <w:rPr>
          <w:rFonts w:eastAsia="SimSun"/>
          <w:bCs/>
          <w:sz w:val="22"/>
          <w:szCs w:val="22"/>
          <w:lang w:bidi="he-IL"/>
        </w:rPr>
        <w:t xml:space="preserve">:  </w:t>
      </w:r>
      <w:r w:rsidRPr="00096CA9">
        <w:rPr>
          <w:rFonts w:eastAsia="Calibri" w:cs="Arial"/>
          <w:sz w:val="22"/>
          <w:szCs w:val="22"/>
          <w:lang w:eastAsia="zh-CN" w:bidi="he-IL"/>
        </w:rPr>
        <w:t xml:space="preserve">after the QFC Stay Period that is related directly or indirectly to the </w:t>
      </w:r>
      <w:r w:rsidR="005D0D62">
        <w:rPr>
          <w:rFonts w:eastAsia="Calibri" w:cs="Arial"/>
          <w:sz w:val="22"/>
          <w:szCs w:val="22"/>
          <w:lang w:eastAsia="zh-CN" w:bidi="he-IL"/>
        </w:rPr>
        <w:t xml:space="preserve">Guarantor of Party A’s obligations, as the </w:t>
      </w:r>
      <w:r w:rsidRPr="00096CA9">
        <w:rPr>
          <w:rFonts w:eastAsia="Calibri" w:cs="Arial"/>
          <w:sz w:val="22"/>
          <w:szCs w:val="22"/>
          <w:lang w:eastAsia="zh-CN" w:bidi="he-IL"/>
        </w:rPr>
        <w:t>Covered Affiliate Support Provider</w:t>
      </w:r>
      <w:r w:rsidR="005D0D62">
        <w:rPr>
          <w:rFonts w:eastAsia="Calibri" w:cs="Arial"/>
          <w:sz w:val="22"/>
          <w:szCs w:val="22"/>
          <w:lang w:eastAsia="zh-CN" w:bidi="he-IL"/>
        </w:rPr>
        <w:t>,</w:t>
      </w:r>
      <w:r w:rsidRPr="00096CA9">
        <w:rPr>
          <w:rFonts w:eastAsia="Calibri" w:cs="Arial"/>
          <w:sz w:val="22"/>
          <w:szCs w:val="22"/>
          <w:lang w:eastAsia="zh-CN" w:bidi="he-IL"/>
        </w:rPr>
        <w:t xml:space="preserve"> becoming subject to an Insolvency Proceeding,</w:t>
      </w:r>
      <w:r>
        <w:rPr>
          <w:rFonts w:eastAsia="SimSun"/>
          <w:bCs/>
          <w:sz w:val="22"/>
          <w:szCs w:val="22"/>
          <w:lang w:bidi="he-IL"/>
        </w:rPr>
        <w:t xml:space="preserve"> </w:t>
      </w:r>
      <w:r w:rsidRPr="00EA1C8E">
        <w:rPr>
          <w:rFonts w:eastAsia="SimSun"/>
          <w:bCs/>
          <w:sz w:val="22"/>
          <w:szCs w:val="22"/>
          <w:lang w:bidi="he-IL"/>
        </w:rPr>
        <w:t xml:space="preserve">the </w:t>
      </w:r>
      <w:r w:rsidR="005D0D62">
        <w:rPr>
          <w:rFonts w:eastAsia="SimSun"/>
          <w:bCs/>
          <w:sz w:val="22"/>
          <w:szCs w:val="22"/>
          <w:lang w:bidi="he-IL"/>
        </w:rPr>
        <w:t>Guarantor of Party</w:t>
      </w:r>
      <w:r>
        <w:rPr>
          <w:rFonts w:eastAsia="SimSun"/>
          <w:bCs/>
          <w:sz w:val="22"/>
          <w:szCs w:val="22"/>
          <w:lang w:bidi="he-IL"/>
        </w:rPr>
        <w:t xml:space="preserve"> </w:t>
      </w:r>
      <w:r>
        <w:rPr>
          <w:rFonts w:eastAsia="SimSun"/>
          <w:bCs/>
          <w:sz w:val="22"/>
          <w:szCs w:val="22"/>
          <w:lang w:bidi="he-IL"/>
        </w:rPr>
        <w:t>A</w:t>
      </w:r>
      <w:r w:rsidR="005D0D62">
        <w:rPr>
          <w:rFonts w:eastAsia="SimSun"/>
          <w:bCs/>
          <w:sz w:val="22"/>
          <w:szCs w:val="22"/>
          <w:lang w:bidi="he-IL"/>
        </w:rPr>
        <w:t>’s obligations</w:t>
      </w:r>
      <w:r>
        <w:rPr>
          <w:rFonts w:eastAsia="SimSun"/>
          <w:bCs/>
          <w:sz w:val="22"/>
          <w:szCs w:val="22"/>
          <w:lang w:bidi="he-IL"/>
        </w:rPr>
        <w:t xml:space="preserve">, as the </w:t>
      </w:r>
      <w:r w:rsidRPr="00EA1C8E">
        <w:rPr>
          <w:rFonts w:eastAsia="SimSun"/>
          <w:bCs/>
          <w:sz w:val="22"/>
          <w:szCs w:val="22"/>
          <w:lang w:bidi="he-IL"/>
        </w:rPr>
        <w:t xml:space="preserve">Covered </w:t>
      </w:r>
      <w:r w:rsidRPr="00EA1C8E">
        <w:rPr>
          <w:rFonts w:eastAsia="SimSun"/>
          <w:bCs/>
          <w:sz w:val="22"/>
          <w:szCs w:val="22"/>
          <w:lang w:bidi="he-IL"/>
        </w:rPr>
        <w:lastRenderedPageBreak/>
        <w:t>Affiliate Support Provider</w:t>
      </w:r>
      <w:r>
        <w:rPr>
          <w:rFonts w:eastAsia="SimSun"/>
          <w:bCs/>
          <w:sz w:val="22"/>
          <w:szCs w:val="22"/>
          <w:lang w:bidi="he-IL"/>
        </w:rPr>
        <w:t>,</w:t>
      </w:r>
      <w:r w:rsidRPr="00EA1C8E">
        <w:rPr>
          <w:rFonts w:eastAsia="SimSun"/>
          <w:bCs/>
          <w:sz w:val="22"/>
          <w:szCs w:val="22"/>
          <w:lang w:bidi="he-IL"/>
        </w:rPr>
        <w:t xml:space="preserve"> does not remain, and a Transferee does not become, obligated to the same, or substantially similar, extent as the </w:t>
      </w:r>
      <w:r w:rsidR="00A975CA">
        <w:rPr>
          <w:rFonts w:eastAsia="SimSun"/>
          <w:bCs/>
          <w:sz w:val="22"/>
          <w:szCs w:val="22"/>
          <w:lang w:bidi="he-IL"/>
        </w:rPr>
        <w:t xml:space="preserve">Guarantor of Party A’s obligations, as the </w:t>
      </w:r>
      <w:r w:rsidRPr="00EA1C8E">
        <w:rPr>
          <w:rFonts w:eastAsia="SimSun"/>
          <w:bCs/>
          <w:sz w:val="22"/>
          <w:szCs w:val="22"/>
          <w:lang w:bidi="he-IL"/>
        </w:rPr>
        <w:t>Covered Affiliate Support Provider</w:t>
      </w:r>
      <w:r w:rsidR="00A975CA">
        <w:rPr>
          <w:rFonts w:eastAsia="SimSun"/>
          <w:bCs/>
          <w:sz w:val="22"/>
          <w:szCs w:val="22"/>
          <w:lang w:bidi="he-IL"/>
        </w:rPr>
        <w:t>,</w:t>
      </w:r>
      <w:r w:rsidRPr="00EA1C8E">
        <w:rPr>
          <w:rFonts w:eastAsia="SimSun"/>
          <w:bCs/>
          <w:sz w:val="22"/>
          <w:szCs w:val="22"/>
          <w:lang w:bidi="he-IL"/>
        </w:rPr>
        <w:t xml:space="preserve"> was</w:t>
      </w:r>
      <w:r w:rsidRPr="00EA1C8E">
        <w:rPr>
          <w:rFonts w:eastAsia="SimSun"/>
          <w:bCs/>
          <w:sz w:val="22"/>
          <w:szCs w:val="22"/>
          <w:lang w:bidi="he-IL"/>
        </w:rPr>
        <w:t xml:space="preserve"> obligated immediately prior to entering such Insolvency Proceeding with respect to all other Covered Affiliate Credit Enhancements provided by the </w:t>
      </w:r>
      <w:r w:rsidR="00B31FEC">
        <w:rPr>
          <w:rFonts w:eastAsia="SimSun"/>
          <w:bCs/>
          <w:sz w:val="22"/>
          <w:szCs w:val="22"/>
          <w:lang w:bidi="he-IL"/>
        </w:rPr>
        <w:t xml:space="preserve">Guarantor of Party A’s obligations, as the </w:t>
      </w:r>
      <w:r w:rsidRPr="00EA1C8E">
        <w:rPr>
          <w:rFonts w:eastAsia="SimSun"/>
          <w:bCs/>
          <w:sz w:val="22"/>
          <w:szCs w:val="22"/>
          <w:lang w:bidi="he-IL"/>
        </w:rPr>
        <w:t>Covered Affiliate Support Provider</w:t>
      </w:r>
      <w:r w:rsidR="00B31FEC">
        <w:rPr>
          <w:rFonts w:eastAsia="SimSun"/>
          <w:bCs/>
          <w:sz w:val="22"/>
          <w:szCs w:val="22"/>
          <w:lang w:bidi="he-IL"/>
        </w:rPr>
        <w:t>,</w:t>
      </w:r>
      <w:r w:rsidRPr="00EA1C8E">
        <w:rPr>
          <w:rFonts w:eastAsia="SimSun"/>
          <w:bCs/>
          <w:sz w:val="22"/>
          <w:szCs w:val="22"/>
          <w:lang w:bidi="he-IL"/>
        </w:rPr>
        <w:t xml:space="preserve"> in support of other Covered Direct QFCs between </w:t>
      </w:r>
      <w:r>
        <w:rPr>
          <w:rFonts w:eastAsia="SimSun"/>
          <w:bCs/>
          <w:sz w:val="22"/>
          <w:szCs w:val="22"/>
          <w:lang w:bidi="he-IL"/>
        </w:rPr>
        <w:t xml:space="preserve">Party A, as </w:t>
      </w:r>
      <w:r w:rsidRPr="00EA1C8E">
        <w:rPr>
          <w:rFonts w:eastAsia="SimSun"/>
          <w:bCs/>
          <w:sz w:val="22"/>
          <w:szCs w:val="22"/>
          <w:lang w:bidi="he-IL"/>
        </w:rPr>
        <w:t>the Direct Party</w:t>
      </w:r>
      <w:r>
        <w:rPr>
          <w:rFonts w:eastAsia="SimSun"/>
          <w:bCs/>
          <w:sz w:val="22"/>
          <w:szCs w:val="22"/>
          <w:lang w:bidi="he-IL"/>
        </w:rPr>
        <w:t>,</w:t>
      </w:r>
      <w:r w:rsidRPr="00EA1C8E">
        <w:rPr>
          <w:rFonts w:eastAsia="SimSun"/>
          <w:bCs/>
          <w:sz w:val="22"/>
          <w:szCs w:val="22"/>
          <w:lang w:bidi="he-IL"/>
        </w:rPr>
        <w:t xml:space="preserve"> and </w:t>
      </w:r>
      <w:r>
        <w:rPr>
          <w:rFonts w:eastAsia="SimSun"/>
          <w:bCs/>
          <w:sz w:val="22"/>
          <w:szCs w:val="22"/>
          <w:lang w:bidi="he-IL"/>
        </w:rPr>
        <w:t xml:space="preserve">Party B, as </w:t>
      </w:r>
      <w:r w:rsidRPr="00EA1C8E">
        <w:rPr>
          <w:rFonts w:eastAsia="SimSun"/>
          <w:bCs/>
          <w:sz w:val="22"/>
          <w:szCs w:val="22"/>
          <w:lang w:bidi="he-IL"/>
        </w:rPr>
        <w:t xml:space="preserve">the supported Counterparty Entity under the Covered Affiliate Credit Enhancement referenced in paragraph (3) above (as designated in Section 252.84(f)(3)(ii) of </w:t>
      </w:r>
      <w:r w:rsidRPr="00EA1C8E">
        <w:rPr>
          <w:rFonts w:eastAsia="SimSun"/>
          <w:bCs/>
          <w:sz w:val="22"/>
          <w:szCs w:val="22"/>
          <w:lang w:bidi="he-IL"/>
        </w:rPr>
        <w:t>the FRB Rules, Section 382.4(f)(3)(ii) of the FDIC Rules, and Section 47.5(f)(3)(ii) of the OCC Rules); and</w:t>
      </w:r>
    </w:p>
    <w:p w:rsidR="00F107E8" w:rsidRDefault="001B288C" w:rsidP="00F107E8">
      <w:pPr>
        <w:spacing w:after="240"/>
        <w:ind w:left="2880"/>
        <w:outlineLvl w:val="2"/>
        <w:rPr>
          <w:rFonts w:eastAsia="SimSun"/>
          <w:bCs/>
          <w:sz w:val="22"/>
          <w:szCs w:val="22"/>
          <w:lang w:bidi="he-IL"/>
        </w:rPr>
      </w:pPr>
      <w:r w:rsidRPr="00EA1C8E">
        <w:rPr>
          <w:rFonts w:eastAsia="SimSun"/>
          <w:bCs/>
          <w:sz w:val="22"/>
          <w:szCs w:val="22"/>
          <w:u w:val="single"/>
          <w:lang w:bidi="he-IL"/>
        </w:rPr>
        <w:t>Corresponding Event of Default</w:t>
      </w:r>
      <w:r w:rsidRPr="00EA1C8E">
        <w:rPr>
          <w:rFonts w:eastAsia="SimSun"/>
          <w:bCs/>
          <w:sz w:val="22"/>
          <w:szCs w:val="22"/>
          <w:lang w:bidi="he-IL"/>
        </w:rPr>
        <w:t xml:space="preserve">:  </w:t>
      </w:r>
      <w:r w:rsidR="00B31FEC" w:rsidRPr="00EA1C8E">
        <w:rPr>
          <w:rFonts w:eastAsia="SimSun"/>
          <w:bCs/>
          <w:sz w:val="22"/>
          <w:szCs w:val="22"/>
          <w:lang w:bidi="he-IL"/>
        </w:rPr>
        <w:t xml:space="preserve">an Event of Default with respect to </w:t>
      </w:r>
      <w:r w:rsidR="00B31FEC">
        <w:rPr>
          <w:rFonts w:eastAsia="SimSun"/>
          <w:bCs/>
          <w:sz w:val="22"/>
          <w:szCs w:val="22"/>
          <w:lang w:bidi="he-IL"/>
        </w:rPr>
        <w:t xml:space="preserve">Party A, as </w:t>
      </w:r>
      <w:r w:rsidR="00B31FEC" w:rsidRPr="00EA1C8E">
        <w:rPr>
          <w:rFonts w:eastAsia="SimSun"/>
          <w:bCs/>
          <w:sz w:val="22"/>
          <w:szCs w:val="22"/>
          <w:lang w:bidi="he-IL"/>
        </w:rPr>
        <w:t>the Direct Party</w:t>
      </w:r>
      <w:r w:rsidR="00B31FEC">
        <w:rPr>
          <w:rFonts w:eastAsia="SimSun"/>
          <w:bCs/>
          <w:sz w:val="22"/>
          <w:szCs w:val="22"/>
          <w:lang w:bidi="he-IL"/>
        </w:rPr>
        <w:t>,</w:t>
      </w:r>
      <w:r w:rsidR="00B31FEC" w:rsidRPr="00EA1C8E">
        <w:rPr>
          <w:rFonts w:eastAsia="SimSun"/>
          <w:bCs/>
          <w:sz w:val="22"/>
          <w:szCs w:val="22"/>
          <w:lang w:bidi="he-IL"/>
        </w:rPr>
        <w:t xml:space="preserve"> or </w:t>
      </w:r>
      <w:r w:rsidR="00B31FEC">
        <w:rPr>
          <w:rFonts w:eastAsia="SimSun"/>
          <w:bCs/>
          <w:sz w:val="22"/>
          <w:szCs w:val="22"/>
          <w:lang w:bidi="he-IL"/>
        </w:rPr>
        <w:t xml:space="preserve">the Guarantor of Party A’s </w:t>
      </w:r>
      <w:r>
        <w:rPr>
          <w:rFonts w:eastAsia="SimSun"/>
          <w:bCs/>
          <w:sz w:val="22"/>
          <w:szCs w:val="22"/>
          <w:lang w:bidi="he-IL"/>
        </w:rPr>
        <w:t>obligations under S</w:t>
      </w:r>
      <w:r>
        <w:rPr>
          <w:rFonts w:eastAsia="SimSun"/>
          <w:bCs/>
          <w:sz w:val="22"/>
          <w:szCs w:val="22"/>
          <w:lang w:bidi="he-IL"/>
        </w:rPr>
        <w:t>ection 10.2(</w:t>
      </w:r>
      <w:r w:rsidR="00B31FEC">
        <w:rPr>
          <w:rFonts w:eastAsia="SimSun"/>
          <w:bCs/>
          <w:sz w:val="22"/>
          <w:szCs w:val="22"/>
          <w:lang w:bidi="he-IL"/>
        </w:rPr>
        <w:t>i)</w:t>
      </w:r>
      <w:r>
        <w:rPr>
          <w:rFonts w:eastAsia="SimSun"/>
          <w:bCs/>
          <w:sz w:val="22"/>
          <w:szCs w:val="22"/>
          <w:lang w:bidi="he-IL"/>
        </w:rPr>
        <w:t xml:space="preserve"> - (v)</w:t>
      </w:r>
      <w:r w:rsidR="00B31FEC">
        <w:rPr>
          <w:rFonts w:eastAsia="SimSun"/>
          <w:bCs/>
          <w:sz w:val="22"/>
          <w:szCs w:val="22"/>
          <w:lang w:bidi="he-IL"/>
        </w:rPr>
        <w:t xml:space="preserve"> of this Contract</w:t>
      </w:r>
      <w:r>
        <w:rPr>
          <w:rFonts w:eastAsia="SimSun"/>
          <w:bCs/>
          <w:sz w:val="22"/>
          <w:szCs w:val="22"/>
          <w:lang w:bidi="he-IL"/>
        </w:rPr>
        <w:t>,</w:t>
      </w:r>
      <w:r w:rsidRPr="00F107E8">
        <w:rPr>
          <w:rFonts w:eastAsia="SimSun"/>
          <w:sz w:val="22"/>
          <w:szCs w:val="22"/>
        </w:rPr>
        <w:t xml:space="preserve"> </w:t>
      </w:r>
      <w:r w:rsidRPr="00F107E8">
        <w:rPr>
          <w:rFonts w:eastAsia="SimSun"/>
          <w:bCs/>
          <w:sz w:val="22"/>
          <w:szCs w:val="22"/>
          <w:lang w:bidi="he-IL"/>
        </w:rPr>
        <w:t>provided, that</w:t>
      </w:r>
      <w:r w:rsidR="00766AB5" w:rsidRPr="00766AB5">
        <w:rPr>
          <w:rFonts w:eastAsia="SimSun"/>
          <w:sz w:val="22"/>
          <w:szCs w:val="22"/>
          <w:lang w:bidi="he-IL"/>
        </w:rPr>
        <w:t xml:space="preserve"> </w:t>
      </w:r>
      <w:r w:rsidR="00766AB5" w:rsidRPr="00766AB5">
        <w:rPr>
          <w:rFonts w:eastAsia="SimSun"/>
          <w:bCs/>
          <w:sz w:val="22"/>
          <w:szCs w:val="22"/>
          <w:lang w:bidi="he-IL"/>
        </w:rPr>
        <w:t xml:space="preserve">the following additional </w:t>
      </w:r>
      <w:r w:rsidR="00766AB5" w:rsidRPr="00766AB5">
        <w:rPr>
          <w:rFonts w:eastAsia="SimSun"/>
          <w:bCs/>
          <w:sz w:val="22"/>
          <w:szCs w:val="22"/>
          <w:u w:val="single"/>
          <w:lang w:bidi="he-IL"/>
        </w:rPr>
        <w:t>Commercial Provisions</w:t>
      </w:r>
      <w:r w:rsidR="00766AB5" w:rsidRPr="00766AB5">
        <w:rPr>
          <w:rFonts w:eastAsia="SimSun"/>
          <w:bCs/>
          <w:sz w:val="22"/>
          <w:szCs w:val="22"/>
          <w:lang w:bidi="he-IL"/>
        </w:rPr>
        <w:t xml:space="preserve"> are required</w:t>
      </w:r>
      <w:r w:rsidRPr="00F107E8">
        <w:rPr>
          <w:rFonts w:eastAsia="SimSun"/>
          <w:bCs/>
          <w:sz w:val="22"/>
          <w:szCs w:val="22"/>
          <w:lang w:bidi="he-IL"/>
        </w:rPr>
        <w:t xml:space="preserve">: </w:t>
      </w:r>
      <w:r>
        <w:rPr>
          <w:rFonts w:eastAsia="SimSun"/>
          <w:bCs/>
          <w:sz w:val="22"/>
          <w:szCs w:val="22"/>
          <w:lang w:bidi="he-IL"/>
        </w:rPr>
        <w:t xml:space="preserve">this Contract includes a provision requiring the Guarantor under this Contract to be obligated to the same, or substantially similar, extent </w:t>
      </w:r>
      <w:r>
        <w:rPr>
          <w:rFonts w:eastAsia="SimSun"/>
          <w:bCs/>
          <w:sz w:val="22"/>
          <w:szCs w:val="22"/>
          <w:lang w:bidi="he-IL"/>
        </w:rPr>
        <w:t>as the Guarantor with respect to all other Credit Support Obligations provided by the same Guarantor in support of all other NAESB Base Contracts, all transactions thereunder, and/or all other contracts that would be Covered Direct QFCs, between Party A an</w:t>
      </w:r>
      <w:r>
        <w:rPr>
          <w:rFonts w:eastAsia="SimSun"/>
          <w:bCs/>
          <w:sz w:val="22"/>
          <w:szCs w:val="22"/>
          <w:lang w:bidi="he-IL"/>
        </w:rPr>
        <w:t>d Party B; or</w:t>
      </w:r>
    </w:p>
    <w:p w:rsidR="00E20C8E" w:rsidRDefault="00E20C8E" w:rsidP="00F107E8">
      <w:pPr>
        <w:ind w:left="2880" w:hanging="720"/>
        <w:rPr>
          <w:sz w:val="22"/>
          <w:szCs w:val="22"/>
          <w:lang w:eastAsia="zh-CN"/>
        </w:rPr>
      </w:pPr>
    </w:p>
    <w:p w:rsidR="00E20C8E" w:rsidRPr="00EA1C8E" w:rsidRDefault="001B288C" w:rsidP="00F107E8">
      <w:pPr>
        <w:spacing w:after="240"/>
        <w:ind w:left="2880" w:hanging="720"/>
        <w:outlineLvl w:val="2"/>
        <w:rPr>
          <w:rFonts w:eastAsia="SimSun"/>
          <w:bCs/>
          <w:sz w:val="22"/>
          <w:szCs w:val="22"/>
          <w:lang w:bidi="he-IL"/>
        </w:rPr>
      </w:pPr>
      <w:r>
        <w:rPr>
          <w:rFonts w:eastAsia="SimSun"/>
          <w:bCs/>
          <w:sz w:val="22"/>
          <w:szCs w:val="22"/>
          <w:lang w:bidi="he-IL"/>
        </w:rPr>
        <w:t>(5</w:t>
      </w:r>
      <w:r w:rsidRPr="00EA1C8E">
        <w:rPr>
          <w:rFonts w:eastAsia="SimSun"/>
          <w:bCs/>
          <w:sz w:val="22"/>
          <w:szCs w:val="22"/>
          <w:lang w:bidi="he-IL"/>
        </w:rPr>
        <w:t>)</w:t>
      </w:r>
      <w:r w:rsidRPr="00EA1C8E">
        <w:rPr>
          <w:rFonts w:eastAsia="SimSun"/>
          <w:bCs/>
          <w:sz w:val="22"/>
          <w:szCs w:val="22"/>
          <w:lang w:bidi="he-IL"/>
        </w:rPr>
        <w:tab/>
      </w:r>
      <w:r w:rsidRPr="00EA1C8E">
        <w:rPr>
          <w:rFonts w:eastAsia="SimSun"/>
          <w:bCs/>
          <w:sz w:val="22"/>
          <w:szCs w:val="22"/>
          <w:u w:val="single"/>
          <w:lang w:bidi="he-IL"/>
        </w:rPr>
        <w:t>CPP Event of Default</w:t>
      </w:r>
      <w:r w:rsidRPr="00EA1C8E">
        <w:rPr>
          <w:rFonts w:eastAsia="SimSun"/>
          <w:bCs/>
          <w:sz w:val="22"/>
          <w:szCs w:val="22"/>
          <w:lang w:bidi="he-IL"/>
        </w:rPr>
        <w:t xml:space="preserve">:  </w:t>
      </w:r>
      <w:r w:rsidRPr="00096CA9">
        <w:rPr>
          <w:rFonts w:eastAsia="Calibri" w:cs="Arial"/>
          <w:sz w:val="22"/>
          <w:szCs w:val="22"/>
          <w:lang w:eastAsia="zh-CN" w:bidi="he-IL"/>
        </w:rPr>
        <w:t xml:space="preserve">after the QFC Stay Period that is related directly or indirectly to the </w:t>
      </w:r>
      <w:r>
        <w:rPr>
          <w:rFonts w:eastAsia="Calibri" w:cs="Arial"/>
          <w:sz w:val="22"/>
          <w:szCs w:val="22"/>
          <w:lang w:eastAsia="zh-CN" w:bidi="he-IL"/>
        </w:rPr>
        <w:t xml:space="preserve">Guarantor of Party A’s obligations, as the </w:t>
      </w:r>
      <w:r w:rsidRPr="00096CA9">
        <w:rPr>
          <w:rFonts w:eastAsia="Calibri" w:cs="Arial"/>
          <w:sz w:val="22"/>
          <w:szCs w:val="22"/>
          <w:lang w:eastAsia="zh-CN" w:bidi="he-IL"/>
        </w:rPr>
        <w:t>Covered Affiliate Support Provider</w:t>
      </w:r>
      <w:r>
        <w:rPr>
          <w:rFonts w:eastAsia="Calibri" w:cs="Arial"/>
          <w:sz w:val="22"/>
          <w:szCs w:val="22"/>
          <w:lang w:eastAsia="zh-CN" w:bidi="he-IL"/>
        </w:rPr>
        <w:t>,</w:t>
      </w:r>
      <w:r w:rsidRPr="00096CA9">
        <w:rPr>
          <w:rFonts w:eastAsia="Calibri" w:cs="Arial"/>
          <w:sz w:val="22"/>
          <w:szCs w:val="22"/>
          <w:lang w:eastAsia="zh-CN" w:bidi="he-IL"/>
        </w:rPr>
        <w:t xml:space="preserve"> becoming subject to an Insolvency Proceeding,</w:t>
      </w:r>
      <w:r>
        <w:rPr>
          <w:rFonts w:eastAsia="SimSun"/>
          <w:bCs/>
          <w:sz w:val="22"/>
          <w:szCs w:val="22"/>
          <w:lang w:bidi="he-IL"/>
        </w:rPr>
        <w:t xml:space="preserve"> </w:t>
      </w:r>
      <w:r w:rsidRPr="00EA1C8E">
        <w:rPr>
          <w:rFonts w:eastAsia="SimSun"/>
          <w:bCs/>
          <w:sz w:val="22"/>
          <w:szCs w:val="22"/>
          <w:lang w:bidi="he-IL"/>
        </w:rPr>
        <w:t xml:space="preserve">the </w:t>
      </w:r>
      <w:r>
        <w:rPr>
          <w:rFonts w:eastAsia="SimSun"/>
          <w:bCs/>
          <w:sz w:val="22"/>
          <w:szCs w:val="22"/>
          <w:lang w:bidi="he-IL"/>
        </w:rPr>
        <w:t xml:space="preserve">Guarantor of Party A’s obligations, as the </w:t>
      </w:r>
      <w:r w:rsidRPr="00EA1C8E">
        <w:rPr>
          <w:rFonts w:eastAsia="SimSun"/>
          <w:bCs/>
          <w:sz w:val="22"/>
          <w:szCs w:val="22"/>
          <w:lang w:bidi="he-IL"/>
        </w:rPr>
        <w:t>Covered Affiliate Support Provider</w:t>
      </w:r>
      <w:r>
        <w:rPr>
          <w:rFonts w:eastAsia="SimSun"/>
          <w:bCs/>
          <w:sz w:val="22"/>
          <w:szCs w:val="22"/>
          <w:lang w:bidi="he-IL"/>
        </w:rPr>
        <w:t>,</w:t>
      </w:r>
      <w:r w:rsidRPr="00EA1C8E">
        <w:rPr>
          <w:rFonts w:eastAsia="SimSun"/>
          <w:bCs/>
          <w:sz w:val="22"/>
          <w:szCs w:val="22"/>
          <w:lang w:bidi="he-IL"/>
        </w:rPr>
        <w:t xml:space="preserve"> does not remain, and a Transferee does not become, obligated to the same, or substantially similar, extent as the </w:t>
      </w:r>
      <w:r>
        <w:rPr>
          <w:rFonts w:eastAsia="SimSun"/>
          <w:bCs/>
          <w:sz w:val="22"/>
          <w:szCs w:val="22"/>
          <w:lang w:bidi="he-IL"/>
        </w:rPr>
        <w:t xml:space="preserve">Guarantor of Party A’s obligations, as the </w:t>
      </w:r>
      <w:r w:rsidRPr="00EA1C8E">
        <w:rPr>
          <w:rFonts w:eastAsia="SimSun"/>
          <w:bCs/>
          <w:sz w:val="22"/>
          <w:szCs w:val="22"/>
          <w:lang w:bidi="he-IL"/>
        </w:rPr>
        <w:t>Covered Affiliate Su</w:t>
      </w:r>
      <w:r w:rsidRPr="00EA1C8E">
        <w:rPr>
          <w:rFonts w:eastAsia="SimSun"/>
          <w:bCs/>
          <w:sz w:val="22"/>
          <w:szCs w:val="22"/>
          <w:lang w:bidi="he-IL"/>
        </w:rPr>
        <w:t>pport Provider</w:t>
      </w:r>
      <w:r>
        <w:rPr>
          <w:rFonts w:eastAsia="SimSun"/>
          <w:bCs/>
          <w:sz w:val="22"/>
          <w:szCs w:val="22"/>
          <w:lang w:bidi="he-IL"/>
        </w:rPr>
        <w:t>,</w:t>
      </w:r>
      <w:r w:rsidRPr="00EA1C8E">
        <w:rPr>
          <w:rFonts w:eastAsia="SimSun"/>
          <w:bCs/>
          <w:sz w:val="22"/>
          <w:szCs w:val="22"/>
          <w:lang w:bidi="he-IL"/>
        </w:rPr>
        <w:t xml:space="preserve"> was obligated immediately prior to entering such Insolvency Proce</w:t>
      </w:r>
      <w:r w:rsidR="00C262CD">
        <w:rPr>
          <w:rFonts w:eastAsia="SimSun"/>
          <w:bCs/>
          <w:sz w:val="22"/>
          <w:szCs w:val="22"/>
          <w:lang w:bidi="he-IL"/>
        </w:rPr>
        <w:t xml:space="preserve">eding with respect to all </w:t>
      </w:r>
      <w:r w:rsidR="00F107E8">
        <w:rPr>
          <w:rFonts w:eastAsia="SimSun"/>
          <w:bCs/>
          <w:sz w:val="22"/>
          <w:szCs w:val="22"/>
          <w:lang w:bidi="he-IL"/>
        </w:rPr>
        <w:t xml:space="preserve">other </w:t>
      </w:r>
      <w:r w:rsidRPr="00EA1C8E">
        <w:rPr>
          <w:rFonts w:eastAsia="SimSun"/>
          <w:bCs/>
          <w:sz w:val="22"/>
          <w:szCs w:val="22"/>
          <w:lang w:bidi="he-IL"/>
        </w:rPr>
        <w:t xml:space="preserve">Covered Affiliate Credit Enhancements provided by the </w:t>
      </w:r>
      <w:r>
        <w:rPr>
          <w:rFonts w:eastAsia="SimSun"/>
          <w:bCs/>
          <w:sz w:val="22"/>
          <w:szCs w:val="22"/>
          <w:lang w:bidi="he-IL"/>
        </w:rPr>
        <w:t xml:space="preserve">Guarantor of Party A’s obligations, as the </w:t>
      </w:r>
      <w:r w:rsidRPr="00EA1C8E">
        <w:rPr>
          <w:rFonts w:eastAsia="SimSun"/>
          <w:bCs/>
          <w:sz w:val="22"/>
          <w:szCs w:val="22"/>
          <w:lang w:bidi="he-IL"/>
        </w:rPr>
        <w:t>Covered Affiliate Support Provider</w:t>
      </w:r>
      <w:r>
        <w:rPr>
          <w:rFonts w:eastAsia="SimSun"/>
          <w:bCs/>
          <w:sz w:val="22"/>
          <w:szCs w:val="22"/>
          <w:lang w:bidi="he-IL"/>
        </w:rPr>
        <w:t>,</w:t>
      </w:r>
      <w:r w:rsidR="00C262CD">
        <w:rPr>
          <w:rFonts w:eastAsia="SimSun"/>
          <w:bCs/>
          <w:sz w:val="22"/>
          <w:szCs w:val="22"/>
          <w:lang w:bidi="he-IL"/>
        </w:rPr>
        <w:t xml:space="preserve"> in support of </w:t>
      </w:r>
      <w:r w:rsidR="00F107E8">
        <w:rPr>
          <w:rFonts w:eastAsia="SimSun"/>
          <w:bCs/>
          <w:sz w:val="22"/>
          <w:szCs w:val="22"/>
          <w:lang w:bidi="he-IL"/>
        </w:rPr>
        <w:t xml:space="preserve">other </w:t>
      </w:r>
      <w:r w:rsidRPr="00EA1C8E">
        <w:rPr>
          <w:rFonts w:eastAsia="SimSun"/>
          <w:bCs/>
          <w:sz w:val="22"/>
          <w:szCs w:val="22"/>
          <w:lang w:bidi="he-IL"/>
        </w:rPr>
        <w:t xml:space="preserve">Covered Direct QFCs between </w:t>
      </w:r>
      <w:r>
        <w:rPr>
          <w:rFonts w:eastAsia="SimSun"/>
          <w:bCs/>
          <w:sz w:val="22"/>
          <w:szCs w:val="22"/>
          <w:lang w:bidi="he-IL"/>
        </w:rPr>
        <w:t xml:space="preserve">Party A, as </w:t>
      </w:r>
      <w:r w:rsidRPr="00EA1C8E">
        <w:rPr>
          <w:rFonts w:eastAsia="SimSun"/>
          <w:bCs/>
          <w:sz w:val="22"/>
          <w:szCs w:val="22"/>
          <w:lang w:bidi="he-IL"/>
        </w:rPr>
        <w:t>the Direct Party</w:t>
      </w:r>
      <w:r>
        <w:rPr>
          <w:rFonts w:eastAsia="SimSun"/>
          <w:bCs/>
          <w:sz w:val="22"/>
          <w:szCs w:val="22"/>
          <w:lang w:bidi="he-IL"/>
        </w:rPr>
        <w:t>,</w:t>
      </w:r>
      <w:r w:rsidR="0020674E">
        <w:rPr>
          <w:rFonts w:eastAsia="SimSun"/>
          <w:bCs/>
          <w:sz w:val="22"/>
          <w:szCs w:val="22"/>
          <w:lang w:bidi="he-IL"/>
        </w:rPr>
        <w:t xml:space="preserve"> and a</w:t>
      </w:r>
      <w:r w:rsidR="00C262CD">
        <w:rPr>
          <w:rFonts w:eastAsia="SimSun"/>
          <w:bCs/>
          <w:sz w:val="22"/>
          <w:szCs w:val="22"/>
          <w:lang w:bidi="he-IL"/>
        </w:rPr>
        <w:t xml:space="preserve">ffiliates of </w:t>
      </w:r>
      <w:r>
        <w:rPr>
          <w:rFonts w:eastAsia="SimSun"/>
          <w:bCs/>
          <w:sz w:val="22"/>
          <w:szCs w:val="22"/>
          <w:lang w:bidi="he-IL"/>
        </w:rPr>
        <w:t xml:space="preserve">Party B, as </w:t>
      </w:r>
      <w:r w:rsidRPr="00EA1C8E">
        <w:rPr>
          <w:rFonts w:eastAsia="SimSun"/>
          <w:bCs/>
          <w:sz w:val="22"/>
          <w:szCs w:val="22"/>
          <w:lang w:bidi="he-IL"/>
        </w:rPr>
        <w:t>the supported Counterparty Entity under the Covered Affiliate Credit Enhanc</w:t>
      </w:r>
      <w:r w:rsidR="00017BF4">
        <w:rPr>
          <w:rFonts w:eastAsia="SimSun"/>
          <w:bCs/>
          <w:sz w:val="22"/>
          <w:szCs w:val="22"/>
          <w:lang w:bidi="he-IL"/>
        </w:rPr>
        <w:t>ement referenced in paragraph (4</w:t>
      </w:r>
      <w:r w:rsidRPr="00EA1C8E">
        <w:rPr>
          <w:rFonts w:eastAsia="SimSun"/>
          <w:bCs/>
          <w:sz w:val="22"/>
          <w:szCs w:val="22"/>
          <w:lang w:bidi="he-IL"/>
        </w:rPr>
        <w:t>) above (as designated in Section 252.84(f)(3)(i</w:t>
      </w:r>
      <w:r w:rsidR="00C262CD">
        <w:rPr>
          <w:rFonts w:eastAsia="SimSun"/>
          <w:bCs/>
          <w:sz w:val="22"/>
          <w:szCs w:val="22"/>
          <w:lang w:bidi="he-IL"/>
        </w:rPr>
        <w:t>i</w:t>
      </w:r>
      <w:r w:rsidRPr="00EA1C8E">
        <w:rPr>
          <w:rFonts w:eastAsia="SimSun"/>
          <w:bCs/>
          <w:sz w:val="22"/>
          <w:szCs w:val="22"/>
          <w:lang w:bidi="he-IL"/>
        </w:rPr>
        <w:t>i)</w:t>
      </w:r>
      <w:r w:rsidRPr="00EA1C8E">
        <w:rPr>
          <w:rFonts w:eastAsia="SimSun"/>
          <w:bCs/>
          <w:sz w:val="22"/>
          <w:szCs w:val="22"/>
          <w:lang w:bidi="he-IL"/>
        </w:rPr>
        <w:t xml:space="preserve"> of the FRB Rules, Section 382.4(f)(3)(i</w:t>
      </w:r>
      <w:r w:rsidR="00C262CD">
        <w:rPr>
          <w:rFonts w:eastAsia="SimSun"/>
          <w:bCs/>
          <w:sz w:val="22"/>
          <w:szCs w:val="22"/>
          <w:lang w:bidi="he-IL"/>
        </w:rPr>
        <w:t>i</w:t>
      </w:r>
      <w:r w:rsidRPr="00EA1C8E">
        <w:rPr>
          <w:rFonts w:eastAsia="SimSun"/>
          <w:bCs/>
          <w:sz w:val="22"/>
          <w:szCs w:val="22"/>
          <w:lang w:bidi="he-IL"/>
        </w:rPr>
        <w:t>i) of the FDIC Rules, and Section 47.5(f)(3)(i</w:t>
      </w:r>
      <w:r w:rsidR="00C262CD">
        <w:rPr>
          <w:rFonts w:eastAsia="SimSun"/>
          <w:bCs/>
          <w:sz w:val="22"/>
          <w:szCs w:val="22"/>
          <w:lang w:bidi="he-IL"/>
        </w:rPr>
        <w:t>i</w:t>
      </w:r>
      <w:r w:rsidRPr="00EA1C8E">
        <w:rPr>
          <w:rFonts w:eastAsia="SimSun"/>
          <w:bCs/>
          <w:sz w:val="22"/>
          <w:szCs w:val="22"/>
          <w:lang w:bidi="he-IL"/>
        </w:rPr>
        <w:t>i) of the OCC Rules); and</w:t>
      </w:r>
    </w:p>
    <w:p w:rsidR="00F107E8" w:rsidRDefault="001B288C" w:rsidP="00F107E8">
      <w:pPr>
        <w:spacing w:after="240"/>
        <w:ind w:left="2880"/>
        <w:outlineLvl w:val="2"/>
        <w:rPr>
          <w:rFonts w:eastAsia="SimSun"/>
          <w:bCs/>
          <w:sz w:val="22"/>
          <w:szCs w:val="22"/>
          <w:lang w:bidi="he-IL"/>
        </w:rPr>
      </w:pPr>
      <w:r w:rsidRPr="00EA1C8E">
        <w:rPr>
          <w:rFonts w:eastAsia="SimSun"/>
          <w:bCs/>
          <w:sz w:val="22"/>
          <w:szCs w:val="22"/>
          <w:u w:val="single"/>
          <w:lang w:bidi="he-IL"/>
        </w:rPr>
        <w:t>Corresponding Event of Default</w:t>
      </w:r>
      <w:r w:rsidRPr="00EA1C8E">
        <w:rPr>
          <w:rFonts w:eastAsia="SimSun"/>
          <w:bCs/>
          <w:sz w:val="22"/>
          <w:szCs w:val="22"/>
          <w:lang w:bidi="he-IL"/>
        </w:rPr>
        <w:t xml:space="preserve">:  an Event of Default with respect to </w:t>
      </w:r>
      <w:r>
        <w:rPr>
          <w:rFonts w:eastAsia="SimSun"/>
          <w:bCs/>
          <w:sz w:val="22"/>
          <w:szCs w:val="22"/>
          <w:lang w:bidi="he-IL"/>
        </w:rPr>
        <w:t xml:space="preserve">Party A, as </w:t>
      </w:r>
      <w:r w:rsidRPr="00EA1C8E">
        <w:rPr>
          <w:rFonts w:eastAsia="SimSun"/>
          <w:bCs/>
          <w:sz w:val="22"/>
          <w:szCs w:val="22"/>
          <w:lang w:bidi="he-IL"/>
        </w:rPr>
        <w:t>the Direct Party</w:t>
      </w:r>
      <w:r>
        <w:rPr>
          <w:rFonts w:eastAsia="SimSun"/>
          <w:bCs/>
          <w:sz w:val="22"/>
          <w:szCs w:val="22"/>
          <w:lang w:bidi="he-IL"/>
        </w:rPr>
        <w:t>,</w:t>
      </w:r>
      <w:r w:rsidRPr="00EA1C8E">
        <w:rPr>
          <w:rFonts w:eastAsia="SimSun"/>
          <w:bCs/>
          <w:sz w:val="22"/>
          <w:szCs w:val="22"/>
          <w:lang w:bidi="he-IL"/>
        </w:rPr>
        <w:t xml:space="preserve"> or </w:t>
      </w:r>
      <w:r>
        <w:rPr>
          <w:rFonts w:eastAsia="SimSun"/>
          <w:bCs/>
          <w:sz w:val="22"/>
          <w:szCs w:val="22"/>
          <w:lang w:bidi="he-IL"/>
        </w:rPr>
        <w:t xml:space="preserve">the Guarantor of Party A’s obligations </w:t>
      </w:r>
      <w:r>
        <w:rPr>
          <w:rFonts w:eastAsia="SimSun"/>
          <w:bCs/>
          <w:sz w:val="22"/>
          <w:szCs w:val="22"/>
          <w:lang w:bidi="he-IL"/>
        </w:rPr>
        <w:t xml:space="preserve">under Section 10.2(i) – (v) of this Contract, </w:t>
      </w:r>
      <w:r w:rsidRPr="00F107E8">
        <w:rPr>
          <w:rFonts w:eastAsia="SimSun"/>
          <w:bCs/>
          <w:sz w:val="22"/>
          <w:szCs w:val="22"/>
          <w:lang w:bidi="he-IL"/>
        </w:rPr>
        <w:t xml:space="preserve">provided, that </w:t>
      </w:r>
      <w:r w:rsidR="001B4EB7" w:rsidRPr="001B4EB7">
        <w:rPr>
          <w:rFonts w:eastAsia="SimSun"/>
          <w:bCs/>
          <w:sz w:val="22"/>
          <w:szCs w:val="22"/>
          <w:lang w:bidi="he-IL"/>
        </w:rPr>
        <w:t xml:space="preserve">the following additional </w:t>
      </w:r>
      <w:r w:rsidR="001B4EB7" w:rsidRPr="001B4EB7">
        <w:rPr>
          <w:rFonts w:eastAsia="SimSun"/>
          <w:bCs/>
          <w:sz w:val="22"/>
          <w:szCs w:val="22"/>
          <w:u w:val="single"/>
          <w:lang w:bidi="he-IL"/>
        </w:rPr>
        <w:t>Commercial Provisions</w:t>
      </w:r>
      <w:r w:rsidR="001B4EB7" w:rsidRPr="001B4EB7">
        <w:rPr>
          <w:rFonts w:eastAsia="SimSun"/>
          <w:bCs/>
          <w:sz w:val="22"/>
          <w:szCs w:val="22"/>
          <w:lang w:bidi="he-IL"/>
        </w:rPr>
        <w:t xml:space="preserve"> are required</w:t>
      </w:r>
      <w:r w:rsidRPr="00F107E8">
        <w:rPr>
          <w:rFonts w:eastAsia="SimSun"/>
          <w:bCs/>
          <w:sz w:val="22"/>
          <w:szCs w:val="22"/>
          <w:lang w:bidi="he-IL"/>
        </w:rPr>
        <w:t xml:space="preserve">: this Contract includes a provision requiring the Guarantor under this Contract to be obligated to the same, or substantially similar, </w:t>
      </w:r>
      <w:r w:rsidRPr="00F107E8">
        <w:rPr>
          <w:rFonts w:eastAsia="SimSun"/>
          <w:bCs/>
          <w:sz w:val="22"/>
          <w:szCs w:val="22"/>
          <w:lang w:bidi="he-IL"/>
        </w:rPr>
        <w:t xml:space="preserve">extent as the Guarantor with respect to all other Credit Support Obligations provided by the same Guarantor in support of all other NAESB Base Contracts, all transactions thereunder, </w:t>
      </w:r>
      <w:r w:rsidRPr="00F107E8">
        <w:rPr>
          <w:rFonts w:eastAsia="SimSun"/>
          <w:bCs/>
          <w:sz w:val="22"/>
          <w:szCs w:val="22"/>
          <w:lang w:bidi="he-IL"/>
        </w:rPr>
        <w:lastRenderedPageBreak/>
        <w:t>and/or all other contracts that would be Covered Direct QFCs, between Par</w:t>
      </w:r>
      <w:r w:rsidRPr="00F107E8">
        <w:rPr>
          <w:rFonts w:eastAsia="SimSun"/>
          <w:bCs/>
          <w:sz w:val="22"/>
          <w:szCs w:val="22"/>
          <w:lang w:bidi="he-IL"/>
        </w:rPr>
        <w:t xml:space="preserve">ty A and </w:t>
      </w:r>
      <w:r>
        <w:rPr>
          <w:rFonts w:eastAsia="SimSun"/>
          <w:bCs/>
          <w:sz w:val="22"/>
          <w:szCs w:val="22"/>
          <w:lang w:bidi="he-IL"/>
        </w:rPr>
        <w:t xml:space="preserve">affiliates of </w:t>
      </w:r>
      <w:r w:rsidRPr="00F107E8">
        <w:rPr>
          <w:rFonts w:eastAsia="SimSun"/>
          <w:bCs/>
          <w:sz w:val="22"/>
          <w:szCs w:val="22"/>
          <w:lang w:bidi="he-IL"/>
        </w:rPr>
        <w:t>Party B; or</w:t>
      </w:r>
    </w:p>
    <w:p w:rsidR="00E20C8E" w:rsidRDefault="00E20C8E" w:rsidP="00F107E8">
      <w:pPr>
        <w:ind w:left="2880" w:hanging="720"/>
        <w:rPr>
          <w:sz w:val="22"/>
          <w:szCs w:val="22"/>
          <w:lang w:eastAsia="zh-CN"/>
        </w:rPr>
      </w:pPr>
    </w:p>
    <w:p w:rsidR="00731B11" w:rsidRPr="005D189A" w:rsidRDefault="001B288C" w:rsidP="00F107E8">
      <w:pPr>
        <w:spacing w:after="240"/>
        <w:ind w:left="2880" w:hanging="720"/>
        <w:outlineLvl w:val="2"/>
        <w:rPr>
          <w:rFonts w:eastAsia="SimSun"/>
          <w:bCs/>
          <w:sz w:val="22"/>
          <w:szCs w:val="22"/>
          <w:lang w:bidi="he-IL"/>
        </w:rPr>
      </w:pPr>
      <w:r w:rsidRPr="005D189A">
        <w:rPr>
          <w:rFonts w:eastAsia="SimSun"/>
          <w:bCs/>
          <w:sz w:val="22"/>
          <w:szCs w:val="22"/>
          <w:lang w:bidi="he-IL"/>
        </w:rPr>
        <w:t>(6)</w:t>
      </w:r>
      <w:r w:rsidRPr="005D189A">
        <w:rPr>
          <w:rFonts w:eastAsia="SimSun"/>
          <w:bCs/>
          <w:sz w:val="22"/>
          <w:szCs w:val="22"/>
          <w:lang w:bidi="he-IL"/>
        </w:rPr>
        <w:tab/>
      </w:r>
      <w:r w:rsidRPr="005D189A">
        <w:rPr>
          <w:rFonts w:eastAsia="SimSun"/>
          <w:bCs/>
          <w:sz w:val="22"/>
          <w:szCs w:val="22"/>
          <w:u w:val="single"/>
          <w:lang w:bidi="he-IL"/>
        </w:rPr>
        <w:t>CPP Event of Default</w:t>
      </w:r>
      <w:r w:rsidRPr="005D189A">
        <w:rPr>
          <w:rFonts w:eastAsia="SimSun"/>
          <w:bCs/>
          <w:sz w:val="22"/>
          <w:szCs w:val="22"/>
          <w:lang w:bidi="he-IL"/>
        </w:rPr>
        <w:t xml:space="preserve">:  </w:t>
      </w:r>
      <w:r w:rsidRPr="00440CF6">
        <w:rPr>
          <w:rFonts w:eastAsia="Calibri" w:cs="Arial"/>
          <w:sz w:val="22"/>
          <w:szCs w:val="22"/>
          <w:lang w:eastAsia="zh-CN" w:bidi="he-IL"/>
        </w:rPr>
        <w:t xml:space="preserve">after the QFC Stay Period that is related directly or indirectly to the </w:t>
      </w:r>
      <w:r w:rsidR="00041116">
        <w:rPr>
          <w:rFonts w:eastAsia="Calibri" w:cs="Arial"/>
          <w:sz w:val="22"/>
          <w:szCs w:val="22"/>
          <w:lang w:eastAsia="zh-CN" w:bidi="he-IL"/>
        </w:rPr>
        <w:t xml:space="preserve">Guarantor of Party A’s obligations, as the </w:t>
      </w:r>
      <w:r w:rsidRPr="00440CF6">
        <w:rPr>
          <w:rFonts w:eastAsia="Calibri" w:cs="Arial"/>
          <w:sz w:val="22"/>
          <w:szCs w:val="22"/>
          <w:lang w:eastAsia="zh-CN" w:bidi="he-IL"/>
        </w:rPr>
        <w:t>Covered Affiliate Support Provider</w:t>
      </w:r>
      <w:r w:rsidR="00041116">
        <w:rPr>
          <w:rFonts w:eastAsia="Calibri" w:cs="Arial"/>
          <w:sz w:val="22"/>
          <w:szCs w:val="22"/>
          <w:lang w:eastAsia="zh-CN" w:bidi="he-IL"/>
        </w:rPr>
        <w:t>,</w:t>
      </w:r>
      <w:r w:rsidRPr="00440CF6">
        <w:rPr>
          <w:rFonts w:eastAsia="Calibri" w:cs="Arial"/>
          <w:sz w:val="22"/>
          <w:szCs w:val="22"/>
          <w:lang w:eastAsia="zh-CN" w:bidi="he-IL"/>
        </w:rPr>
        <w:t xml:space="preserve"> becoming subject to an Insolvency Proceedi</w:t>
      </w:r>
      <w:r w:rsidRPr="00440CF6">
        <w:rPr>
          <w:rFonts w:eastAsia="Calibri" w:cs="Arial"/>
          <w:sz w:val="22"/>
          <w:szCs w:val="22"/>
          <w:lang w:eastAsia="zh-CN" w:bidi="he-IL"/>
        </w:rPr>
        <w:t>ng,</w:t>
      </w:r>
      <w:r>
        <w:rPr>
          <w:rFonts w:eastAsia="Calibri" w:cs="Arial"/>
          <w:sz w:val="22"/>
          <w:szCs w:val="22"/>
          <w:lang w:eastAsia="zh-CN" w:bidi="he-IL"/>
        </w:rPr>
        <w:t xml:space="preserve"> i</w:t>
      </w:r>
      <w:r w:rsidRPr="005D189A">
        <w:rPr>
          <w:rFonts w:eastAsia="SimSun"/>
          <w:bCs/>
          <w:sz w:val="22"/>
          <w:szCs w:val="22"/>
          <w:lang w:bidi="he-IL"/>
        </w:rPr>
        <w:t xml:space="preserve">n the case that the </w:t>
      </w:r>
      <w:r w:rsidR="00041116">
        <w:rPr>
          <w:rFonts w:eastAsia="SimSun"/>
          <w:bCs/>
          <w:sz w:val="22"/>
          <w:szCs w:val="22"/>
          <w:lang w:bidi="he-IL"/>
        </w:rPr>
        <w:t xml:space="preserve">Credit Support Obligations, as the </w:t>
      </w:r>
      <w:r w:rsidRPr="005D189A">
        <w:rPr>
          <w:rFonts w:eastAsia="SimSun"/>
          <w:bCs/>
          <w:sz w:val="22"/>
          <w:szCs w:val="22"/>
          <w:lang w:bidi="he-IL"/>
        </w:rPr>
        <w:t>Covered Affiliate Credit Enhancement</w:t>
      </w:r>
      <w:r w:rsidR="00041116">
        <w:rPr>
          <w:rFonts w:eastAsia="SimSun"/>
          <w:bCs/>
          <w:sz w:val="22"/>
          <w:szCs w:val="22"/>
          <w:lang w:bidi="he-IL"/>
        </w:rPr>
        <w:t>,</w:t>
      </w:r>
      <w:r w:rsidRPr="005D189A">
        <w:rPr>
          <w:rFonts w:eastAsia="SimSun"/>
          <w:bCs/>
          <w:sz w:val="22"/>
          <w:szCs w:val="22"/>
          <w:lang w:bidi="he-IL"/>
        </w:rPr>
        <w:t xml:space="preserve"> is transferred to a Transferee, then either:</w:t>
      </w:r>
    </w:p>
    <w:p w:rsidR="00731B11" w:rsidRPr="005D189A" w:rsidRDefault="001B288C" w:rsidP="00F107E8">
      <w:pPr>
        <w:spacing w:after="240"/>
        <w:ind w:left="3600"/>
        <w:outlineLvl w:val="2"/>
        <w:rPr>
          <w:rFonts w:eastAsia="SimSun"/>
          <w:bCs/>
          <w:sz w:val="22"/>
          <w:szCs w:val="22"/>
          <w:lang w:bidi="he-IL"/>
        </w:rPr>
      </w:pPr>
      <w:r w:rsidRPr="005D189A">
        <w:rPr>
          <w:rFonts w:eastAsia="SimSun"/>
          <w:bCs/>
          <w:sz w:val="22"/>
          <w:szCs w:val="22"/>
          <w:lang w:bidi="he-IL"/>
        </w:rPr>
        <w:t>(i)</w:t>
      </w:r>
      <w:r w:rsidRPr="005D189A">
        <w:rPr>
          <w:rFonts w:eastAsia="SimSun"/>
          <w:bCs/>
          <w:sz w:val="22"/>
          <w:szCs w:val="22"/>
          <w:lang w:bidi="he-IL"/>
        </w:rPr>
        <w:tab/>
        <w:t xml:space="preserve">all of the ownership interests of </w:t>
      </w:r>
      <w:r>
        <w:rPr>
          <w:rFonts w:eastAsia="SimSun"/>
          <w:bCs/>
          <w:sz w:val="22"/>
          <w:szCs w:val="22"/>
          <w:lang w:bidi="he-IL"/>
        </w:rPr>
        <w:t xml:space="preserve">Party A, as </w:t>
      </w:r>
      <w:r w:rsidRPr="005D189A">
        <w:rPr>
          <w:rFonts w:eastAsia="SimSun"/>
          <w:bCs/>
          <w:sz w:val="22"/>
          <w:szCs w:val="22"/>
          <w:lang w:bidi="he-IL"/>
        </w:rPr>
        <w:t>the Direct Party</w:t>
      </w:r>
      <w:r>
        <w:rPr>
          <w:rFonts w:eastAsia="SimSun"/>
          <w:bCs/>
          <w:sz w:val="22"/>
          <w:szCs w:val="22"/>
          <w:lang w:bidi="he-IL"/>
        </w:rPr>
        <w:t>,</w:t>
      </w:r>
      <w:r w:rsidRPr="005D189A">
        <w:rPr>
          <w:rFonts w:eastAsia="SimSun"/>
          <w:bCs/>
          <w:sz w:val="22"/>
          <w:szCs w:val="22"/>
          <w:lang w:bidi="he-IL"/>
        </w:rPr>
        <w:t xml:space="preserve"> directly or indirectly held by the </w:t>
      </w:r>
      <w:r w:rsidR="00041116">
        <w:rPr>
          <w:rFonts w:eastAsia="SimSun"/>
          <w:bCs/>
          <w:sz w:val="22"/>
          <w:szCs w:val="22"/>
          <w:lang w:bidi="he-IL"/>
        </w:rPr>
        <w:t>Guarantor of Party A’s obligations,</w:t>
      </w:r>
      <w:r>
        <w:rPr>
          <w:rFonts w:eastAsia="SimSun"/>
          <w:bCs/>
          <w:sz w:val="22"/>
          <w:szCs w:val="22"/>
          <w:lang w:bidi="he-IL"/>
        </w:rPr>
        <w:t xml:space="preserve">, as the </w:t>
      </w:r>
      <w:r w:rsidRPr="005D189A">
        <w:rPr>
          <w:rFonts w:eastAsia="SimSun"/>
          <w:bCs/>
          <w:sz w:val="22"/>
          <w:szCs w:val="22"/>
          <w:lang w:bidi="he-IL"/>
        </w:rPr>
        <w:t>Covered Affiliate Support Provider</w:t>
      </w:r>
      <w:r>
        <w:rPr>
          <w:rFonts w:eastAsia="SimSun"/>
          <w:bCs/>
          <w:sz w:val="22"/>
          <w:szCs w:val="22"/>
          <w:lang w:bidi="he-IL"/>
        </w:rPr>
        <w:t>,</w:t>
      </w:r>
      <w:r w:rsidRPr="005D189A">
        <w:rPr>
          <w:rFonts w:eastAsia="SimSun"/>
          <w:bCs/>
          <w:sz w:val="22"/>
          <w:szCs w:val="22"/>
          <w:lang w:bidi="he-IL"/>
        </w:rPr>
        <w:t xml:space="preserve"> are not transferred to the Transferee; or</w:t>
      </w:r>
    </w:p>
    <w:p w:rsidR="00731B11" w:rsidRPr="005D189A" w:rsidRDefault="001B288C" w:rsidP="00F107E8">
      <w:pPr>
        <w:spacing w:after="240"/>
        <w:ind w:left="3600"/>
        <w:outlineLvl w:val="2"/>
        <w:rPr>
          <w:rFonts w:eastAsia="SimSun"/>
          <w:bCs/>
          <w:sz w:val="22"/>
          <w:szCs w:val="22"/>
          <w:lang w:bidi="he-IL"/>
        </w:rPr>
      </w:pPr>
      <w:r w:rsidRPr="005D189A">
        <w:rPr>
          <w:rFonts w:eastAsia="SimSun"/>
          <w:bCs/>
          <w:sz w:val="22"/>
          <w:szCs w:val="22"/>
          <w:lang w:bidi="he-IL"/>
        </w:rPr>
        <w:t>(ii)</w:t>
      </w:r>
      <w:r w:rsidRPr="005D189A">
        <w:rPr>
          <w:rFonts w:eastAsia="SimSun"/>
          <w:bCs/>
          <w:sz w:val="22"/>
          <w:szCs w:val="22"/>
          <w:lang w:bidi="he-IL"/>
        </w:rPr>
        <w:tab/>
        <w:t>reasonable assurance has not been provided that all or substantially all of the assets of the</w:t>
      </w:r>
      <w:r w:rsidR="00041116">
        <w:rPr>
          <w:rFonts w:eastAsia="SimSun"/>
          <w:bCs/>
          <w:sz w:val="22"/>
          <w:szCs w:val="22"/>
          <w:lang w:bidi="he-IL"/>
        </w:rPr>
        <w:t xml:space="preserve"> Guarantor of Party A’s obligations,</w:t>
      </w:r>
      <w:r>
        <w:rPr>
          <w:rFonts w:eastAsia="SimSun"/>
          <w:bCs/>
          <w:sz w:val="22"/>
          <w:szCs w:val="22"/>
          <w:lang w:bidi="he-IL"/>
        </w:rPr>
        <w:t xml:space="preserve"> as the </w:t>
      </w:r>
      <w:r w:rsidRPr="005D189A">
        <w:rPr>
          <w:rFonts w:eastAsia="SimSun"/>
          <w:bCs/>
          <w:sz w:val="22"/>
          <w:szCs w:val="22"/>
          <w:lang w:bidi="he-IL"/>
        </w:rPr>
        <w:t>Co</w:t>
      </w:r>
      <w:r w:rsidRPr="005D189A">
        <w:rPr>
          <w:rFonts w:eastAsia="SimSun"/>
          <w:bCs/>
          <w:sz w:val="22"/>
          <w:szCs w:val="22"/>
          <w:lang w:bidi="he-IL"/>
        </w:rPr>
        <w:t>vered Affiliate Support Provider</w:t>
      </w:r>
      <w:r>
        <w:rPr>
          <w:rFonts w:eastAsia="SimSun"/>
          <w:bCs/>
          <w:sz w:val="22"/>
          <w:szCs w:val="22"/>
          <w:lang w:bidi="he-IL"/>
        </w:rPr>
        <w:t>,</w:t>
      </w:r>
      <w:r w:rsidRPr="005D189A">
        <w:rPr>
          <w:rFonts w:eastAsia="SimSun"/>
          <w:bCs/>
          <w:sz w:val="22"/>
          <w:szCs w:val="22"/>
          <w:lang w:bidi="he-IL"/>
        </w:rPr>
        <w:t xml:space="preserve"> (or net proceeds therefrom), excluding any assets reserved for the payment of costs and expenses of administration in the Insolvency Proceeding, will be transferred or sold to the Transferee in a timely manner;</w:t>
      </w:r>
    </w:p>
    <w:p w:rsidR="00731B11" w:rsidRPr="005D189A" w:rsidRDefault="001B288C" w:rsidP="00F107E8">
      <w:pPr>
        <w:spacing w:after="240"/>
        <w:ind w:left="2880"/>
        <w:outlineLvl w:val="2"/>
        <w:rPr>
          <w:rFonts w:eastAsia="SimSun"/>
          <w:bCs/>
          <w:sz w:val="22"/>
          <w:szCs w:val="22"/>
          <w:lang w:bidi="he-IL"/>
        </w:rPr>
      </w:pPr>
      <w:r w:rsidRPr="005D189A">
        <w:rPr>
          <w:rFonts w:eastAsia="SimSun"/>
          <w:bCs/>
          <w:sz w:val="22"/>
          <w:szCs w:val="22"/>
          <w:lang w:bidi="he-IL"/>
        </w:rPr>
        <w:t>(as designa</w:t>
      </w:r>
      <w:r w:rsidRPr="005D189A">
        <w:rPr>
          <w:rFonts w:eastAsia="SimSun"/>
          <w:bCs/>
          <w:sz w:val="22"/>
          <w:szCs w:val="22"/>
          <w:lang w:bidi="he-IL"/>
        </w:rPr>
        <w:t>ted in Section 252.84(f)(4) of the FRB Rules, Section 382.4(f)(4) of the FDIC Rules, and Section 47.5(f)(4) of the OCC Rules); and</w:t>
      </w:r>
    </w:p>
    <w:p w:rsidR="00731B11" w:rsidRPr="005D189A" w:rsidRDefault="001B288C" w:rsidP="00F107E8">
      <w:pPr>
        <w:spacing w:after="240"/>
        <w:ind w:left="2880"/>
        <w:outlineLvl w:val="2"/>
        <w:rPr>
          <w:rFonts w:eastAsia="SimSun"/>
          <w:bCs/>
          <w:sz w:val="22"/>
          <w:szCs w:val="22"/>
          <w:lang w:bidi="he-IL"/>
        </w:rPr>
      </w:pPr>
      <w:r w:rsidRPr="005D189A">
        <w:rPr>
          <w:rFonts w:eastAsia="SimSun"/>
          <w:bCs/>
          <w:sz w:val="22"/>
          <w:szCs w:val="22"/>
          <w:u w:val="single"/>
          <w:lang w:bidi="he-IL"/>
        </w:rPr>
        <w:t>Corresponding Event of Default</w:t>
      </w:r>
      <w:r w:rsidR="00F107E8">
        <w:rPr>
          <w:rFonts w:eastAsia="SimSun"/>
          <w:bCs/>
          <w:sz w:val="22"/>
          <w:szCs w:val="22"/>
          <w:lang w:bidi="he-IL"/>
        </w:rPr>
        <w:t xml:space="preserve">:  </w:t>
      </w:r>
      <w:r w:rsidR="00F107E8" w:rsidRPr="00F107E8">
        <w:rPr>
          <w:rFonts w:eastAsia="SimSun"/>
          <w:bCs/>
          <w:sz w:val="22"/>
          <w:szCs w:val="22"/>
          <w:lang w:bidi="he-IL"/>
        </w:rPr>
        <w:t xml:space="preserve">an Event of Default with respect to Party A, as the Direct Party, or the Guarantor of Party A’s obligations under Section 10.2(i) – (v) of this Contract, provided, that </w:t>
      </w:r>
      <w:r w:rsidR="001B4EB7" w:rsidRPr="001B4EB7">
        <w:rPr>
          <w:rFonts w:eastAsia="SimSun"/>
          <w:bCs/>
          <w:sz w:val="22"/>
          <w:szCs w:val="22"/>
          <w:lang w:bidi="he-IL"/>
        </w:rPr>
        <w:t xml:space="preserve">the following additional </w:t>
      </w:r>
      <w:r w:rsidR="001B4EB7" w:rsidRPr="001B4EB7">
        <w:rPr>
          <w:rFonts w:eastAsia="SimSun"/>
          <w:bCs/>
          <w:sz w:val="22"/>
          <w:szCs w:val="22"/>
          <w:u w:val="single"/>
          <w:lang w:bidi="he-IL"/>
        </w:rPr>
        <w:t>Commercial Provisions</w:t>
      </w:r>
      <w:r w:rsidR="001B4EB7" w:rsidRPr="001B4EB7">
        <w:rPr>
          <w:rFonts w:eastAsia="SimSun"/>
          <w:bCs/>
          <w:sz w:val="22"/>
          <w:szCs w:val="22"/>
          <w:lang w:bidi="he-IL"/>
        </w:rPr>
        <w:t xml:space="preserve"> are required</w:t>
      </w:r>
      <w:r w:rsidR="00F107E8" w:rsidRPr="00F107E8">
        <w:rPr>
          <w:rFonts w:eastAsia="SimSun"/>
          <w:bCs/>
          <w:sz w:val="22"/>
          <w:szCs w:val="22"/>
          <w:lang w:bidi="he-IL"/>
        </w:rPr>
        <w:t xml:space="preserve">: this Contract includes a provision requiring </w:t>
      </w:r>
      <w:r w:rsidR="00F107E8">
        <w:rPr>
          <w:rFonts w:eastAsia="SimSun"/>
          <w:bCs/>
          <w:sz w:val="22"/>
          <w:szCs w:val="22"/>
          <w:lang w:bidi="he-IL"/>
        </w:rPr>
        <w:t xml:space="preserve">either (a) </w:t>
      </w:r>
      <w:r w:rsidRPr="005D189A">
        <w:rPr>
          <w:rFonts w:eastAsia="SimSun"/>
          <w:bCs/>
          <w:sz w:val="22"/>
          <w:szCs w:val="22"/>
          <w:lang w:bidi="he-IL"/>
        </w:rPr>
        <w:t xml:space="preserve">the </w:t>
      </w:r>
      <w:r w:rsidR="00054B7E">
        <w:rPr>
          <w:rFonts w:eastAsia="SimSun"/>
          <w:bCs/>
          <w:sz w:val="22"/>
          <w:szCs w:val="22"/>
          <w:lang w:bidi="he-IL"/>
        </w:rPr>
        <w:t>Guarantor of Party A’s obligations</w:t>
      </w:r>
      <w:r w:rsidR="00F107E8">
        <w:rPr>
          <w:rFonts w:eastAsia="SimSun"/>
          <w:bCs/>
          <w:sz w:val="22"/>
          <w:szCs w:val="22"/>
          <w:lang w:bidi="he-IL"/>
        </w:rPr>
        <w:t xml:space="preserve"> to be</w:t>
      </w:r>
      <w:r w:rsidRPr="005D189A">
        <w:rPr>
          <w:rFonts w:eastAsia="SimSun"/>
          <w:bCs/>
          <w:sz w:val="22"/>
          <w:szCs w:val="22"/>
          <w:lang w:bidi="he-IL"/>
        </w:rPr>
        <w:t xml:space="preserve"> a direct or indir</w:t>
      </w:r>
      <w:r w:rsidRPr="005D189A">
        <w:rPr>
          <w:rFonts w:eastAsia="SimSun"/>
          <w:bCs/>
          <w:sz w:val="22"/>
          <w:szCs w:val="22"/>
          <w:lang w:bidi="he-IL"/>
        </w:rPr>
        <w:t xml:space="preserve">ect parent of </w:t>
      </w:r>
      <w:r w:rsidR="00F107E8">
        <w:rPr>
          <w:rFonts w:eastAsia="SimSun"/>
          <w:bCs/>
          <w:sz w:val="22"/>
          <w:szCs w:val="22"/>
          <w:lang w:bidi="he-IL"/>
        </w:rPr>
        <w:t>Party A,</w:t>
      </w:r>
      <w:r w:rsidRPr="005D189A">
        <w:rPr>
          <w:rFonts w:eastAsia="SimSun"/>
          <w:bCs/>
          <w:sz w:val="22"/>
          <w:szCs w:val="22"/>
          <w:lang w:bidi="he-IL"/>
        </w:rPr>
        <w:t xml:space="preserve"> or (b) if the </w:t>
      </w:r>
      <w:r w:rsidR="00054B7E">
        <w:rPr>
          <w:rFonts w:eastAsia="SimSun"/>
          <w:bCs/>
          <w:sz w:val="22"/>
          <w:szCs w:val="22"/>
          <w:lang w:bidi="he-IL"/>
        </w:rPr>
        <w:t>Guarantor of Party A’s obligations</w:t>
      </w:r>
      <w:r w:rsidRPr="005D189A">
        <w:rPr>
          <w:rFonts w:eastAsia="SimSun"/>
          <w:bCs/>
          <w:sz w:val="22"/>
          <w:szCs w:val="22"/>
          <w:lang w:bidi="he-IL"/>
        </w:rPr>
        <w:t xml:space="preserve"> is providing a guaranty, such guaranty from the </w:t>
      </w:r>
      <w:r w:rsidR="00054B7E">
        <w:rPr>
          <w:rFonts w:eastAsia="SimSun"/>
          <w:bCs/>
          <w:sz w:val="22"/>
          <w:szCs w:val="22"/>
          <w:lang w:bidi="he-IL"/>
        </w:rPr>
        <w:t>Guarantor of Party A’s obligations</w:t>
      </w:r>
      <w:r w:rsidRPr="005D189A">
        <w:rPr>
          <w:rFonts w:eastAsia="SimSun"/>
          <w:bCs/>
          <w:sz w:val="22"/>
          <w:szCs w:val="22"/>
          <w:lang w:bidi="he-IL"/>
        </w:rPr>
        <w:t xml:space="preserve"> is a parent guaranty or a guaranty by a credit worthy affiliate.</w:t>
      </w:r>
    </w:p>
    <w:p w:rsidR="00A12C80" w:rsidRPr="00A12C80" w:rsidRDefault="00A12C80" w:rsidP="00A12C80">
      <w:pPr>
        <w:ind w:left="1440"/>
        <w:rPr>
          <w:bCs/>
          <w:sz w:val="22"/>
          <w:szCs w:val="22"/>
          <w:lang w:eastAsia="zh-CN"/>
        </w:rPr>
      </w:pPr>
    </w:p>
    <w:p w:rsidR="00A12C80" w:rsidRPr="00A12C80" w:rsidRDefault="001B288C" w:rsidP="00F107E8">
      <w:pPr>
        <w:ind w:left="2160" w:hanging="720"/>
        <w:rPr>
          <w:sz w:val="22"/>
          <w:szCs w:val="22"/>
          <w:lang w:eastAsia="zh-CN"/>
        </w:rPr>
      </w:pPr>
      <w:r>
        <w:rPr>
          <w:sz w:val="22"/>
          <w:szCs w:val="22"/>
          <w:lang w:eastAsia="zh-CN"/>
        </w:rPr>
        <w:t>(</w:t>
      </w:r>
      <w:r w:rsidR="00F107E8">
        <w:rPr>
          <w:sz w:val="22"/>
          <w:szCs w:val="22"/>
          <w:lang w:eastAsia="zh-CN"/>
        </w:rPr>
        <w:t>iii</w:t>
      </w:r>
      <w:r w:rsidRPr="00A12C80">
        <w:rPr>
          <w:sz w:val="22"/>
          <w:szCs w:val="22"/>
          <w:lang w:eastAsia="zh-CN"/>
        </w:rPr>
        <w:t>)</w:t>
      </w:r>
      <w:r w:rsidRPr="00A12C80">
        <w:rPr>
          <w:sz w:val="22"/>
          <w:szCs w:val="22"/>
          <w:lang w:eastAsia="zh-CN"/>
        </w:rPr>
        <w:tab/>
      </w:r>
      <w:r w:rsidRPr="00A12C80">
        <w:rPr>
          <w:sz w:val="22"/>
          <w:szCs w:val="22"/>
          <w:u w:val="single"/>
          <w:lang w:eastAsia="zh-CN"/>
        </w:rPr>
        <w:t>Creditor Protection Events of</w:t>
      </w:r>
      <w:r w:rsidRPr="00A12C80">
        <w:rPr>
          <w:sz w:val="22"/>
          <w:szCs w:val="22"/>
          <w:u w:val="single"/>
          <w:lang w:eastAsia="zh-CN"/>
        </w:rPr>
        <w:t xml:space="preserve"> Default Related to FDI Act Proceedings under Section 252.84(h) of the FRB Rules, Section 382.4(h) of the FDIC Rules, and Section 47.5(h) of the OCC Rules of the Creditor Protection Provisions of the QFC Stay Rules</w:t>
      </w:r>
      <w:r w:rsidRPr="00A12C80">
        <w:rPr>
          <w:sz w:val="22"/>
          <w:szCs w:val="22"/>
          <w:lang w:eastAsia="zh-CN"/>
        </w:rPr>
        <w:t xml:space="preserve">. </w:t>
      </w:r>
    </w:p>
    <w:p w:rsidR="00A12C80" w:rsidRDefault="00A12C80" w:rsidP="00A12C80">
      <w:pPr>
        <w:ind w:left="1440" w:hanging="720"/>
        <w:rPr>
          <w:sz w:val="22"/>
          <w:szCs w:val="22"/>
          <w:lang w:eastAsia="zh-CN"/>
        </w:rPr>
      </w:pPr>
    </w:p>
    <w:p w:rsidR="009E7D3A" w:rsidRDefault="001B288C" w:rsidP="00F107E8">
      <w:pPr>
        <w:ind w:left="2880" w:hanging="720"/>
        <w:jc w:val="both"/>
        <w:rPr>
          <w:sz w:val="22"/>
          <w:szCs w:val="22"/>
          <w:lang w:eastAsia="zh-CN"/>
        </w:rPr>
      </w:pPr>
      <w:r>
        <w:rPr>
          <w:sz w:val="22"/>
          <w:szCs w:val="22"/>
          <w:lang w:eastAsia="zh-CN"/>
        </w:rPr>
        <w:t>(1)</w:t>
      </w:r>
      <w:r>
        <w:rPr>
          <w:sz w:val="22"/>
          <w:szCs w:val="22"/>
          <w:lang w:eastAsia="zh-CN"/>
        </w:rPr>
        <w:tab/>
      </w:r>
      <w:bookmarkStart w:id="6" w:name="_Hlk17833917"/>
      <w:r w:rsidRPr="005B59FC">
        <w:rPr>
          <w:sz w:val="22"/>
          <w:szCs w:val="22"/>
          <w:u w:val="single"/>
          <w:lang w:eastAsia="zh-CN"/>
        </w:rPr>
        <w:t>CPP Event of Default</w:t>
      </w:r>
      <w:r>
        <w:rPr>
          <w:sz w:val="22"/>
          <w:szCs w:val="22"/>
          <w:lang w:eastAsia="zh-CN"/>
        </w:rPr>
        <w:t xml:space="preserve">.  </w:t>
      </w:r>
      <w:r w:rsidRPr="00A12C80">
        <w:rPr>
          <w:sz w:val="22"/>
          <w:szCs w:val="22"/>
          <w:lang w:eastAsia="zh-CN"/>
        </w:rPr>
        <w:t>With respec</w:t>
      </w:r>
      <w:r w:rsidRPr="00A12C80">
        <w:rPr>
          <w:sz w:val="22"/>
          <w:szCs w:val="22"/>
          <w:lang w:eastAsia="zh-CN"/>
        </w:rPr>
        <w:t xml:space="preserve">t to </w:t>
      </w:r>
      <w:r>
        <w:rPr>
          <w:sz w:val="22"/>
          <w:szCs w:val="22"/>
          <w:lang w:eastAsia="zh-CN"/>
        </w:rPr>
        <w:t xml:space="preserve">this </w:t>
      </w:r>
      <w:r w:rsidR="00D5245C">
        <w:rPr>
          <w:sz w:val="22"/>
          <w:szCs w:val="22"/>
          <w:lang w:eastAsia="zh-CN"/>
        </w:rPr>
        <w:t>Contract</w:t>
      </w:r>
      <w:r>
        <w:rPr>
          <w:sz w:val="22"/>
          <w:szCs w:val="22"/>
          <w:lang w:eastAsia="zh-CN"/>
        </w:rPr>
        <w:t xml:space="preserve">, as </w:t>
      </w:r>
      <w:r w:rsidRPr="00A12C80">
        <w:rPr>
          <w:sz w:val="22"/>
          <w:szCs w:val="22"/>
          <w:lang w:eastAsia="zh-CN"/>
        </w:rPr>
        <w:t xml:space="preserve">a Covered Direct QFC that is supported by a Covered Affiliate Credit Enhancement, </w:t>
      </w:r>
      <w:r w:rsidR="00D5245C">
        <w:rPr>
          <w:sz w:val="22"/>
          <w:szCs w:val="22"/>
          <w:lang w:eastAsia="zh-CN"/>
        </w:rPr>
        <w:t xml:space="preserve">the Guarantor of </w:t>
      </w:r>
      <w:r>
        <w:rPr>
          <w:sz w:val="22"/>
          <w:szCs w:val="22"/>
          <w:lang w:eastAsia="zh-CN"/>
        </w:rPr>
        <w:t xml:space="preserve">Party A’s </w:t>
      </w:r>
      <w:r w:rsidR="00D5245C">
        <w:rPr>
          <w:sz w:val="22"/>
          <w:szCs w:val="22"/>
          <w:lang w:eastAsia="zh-CN"/>
        </w:rPr>
        <w:t>obligations</w:t>
      </w:r>
      <w:r>
        <w:rPr>
          <w:sz w:val="22"/>
          <w:szCs w:val="22"/>
          <w:lang w:eastAsia="zh-CN"/>
        </w:rPr>
        <w:t xml:space="preserve">, as </w:t>
      </w:r>
      <w:r w:rsidRPr="00A12C80">
        <w:rPr>
          <w:sz w:val="22"/>
          <w:szCs w:val="22"/>
          <w:lang w:eastAsia="zh-CN"/>
        </w:rPr>
        <w:t>the Covered Affiliate Support Provider</w:t>
      </w:r>
      <w:r>
        <w:rPr>
          <w:sz w:val="22"/>
          <w:szCs w:val="22"/>
          <w:lang w:eastAsia="zh-CN"/>
        </w:rPr>
        <w:t>,</w:t>
      </w:r>
      <w:r w:rsidRPr="00A12C80">
        <w:rPr>
          <w:sz w:val="22"/>
          <w:szCs w:val="22"/>
          <w:lang w:eastAsia="zh-CN"/>
        </w:rPr>
        <w:t xml:space="preserve"> becoming subject to proceedings under the FDI Act</w:t>
      </w:r>
      <w:r>
        <w:rPr>
          <w:sz w:val="22"/>
          <w:szCs w:val="22"/>
          <w:lang w:eastAsia="zh-CN"/>
        </w:rPr>
        <w:t>, if</w:t>
      </w:r>
      <w:bookmarkEnd w:id="6"/>
      <w:r>
        <w:rPr>
          <w:sz w:val="22"/>
          <w:szCs w:val="22"/>
          <w:lang w:eastAsia="zh-CN"/>
        </w:rPr>
        <w:t xml:space="preserve">, </w:t>
      </w:r>
      <w:r w:rsidRPr="005E2E61">
        <w:rPr>
          <w:sz w:val="22"/>
          <w:szCs w:val="22"/>
          <w:u w:val="single"/>
          <w:lang w:eastAsia="zh-CN"/>
        </w:rPr>
        <w:t>at any time a</w:t>
      </w:r>
      <w:r w:rsidRPr="005E2E61">
        <w:rPr>
          <w:sz w:val="22"/>
          <w:szCs w:val="22"/>
          <w:u w:val="single"/>
          <w:lang w:eastAsia="zh-CN"/>
        </w:rPr>
        <w:t xml:space="preserve">fter the </w:t>
      </w:r>
      <w:r w:rsidR="000172E5">
        <w:rPr>
          <w:sz w:val="22"/>
          <w:szCs w:val="22"/>
          <w:u w:val="single"/>
          <w:lang w:eastAsia="zh-CN"/>
        </w:rPr>
        <w:t xml:space="preserve">applicable </w:t>
      </w:r>
      <w:r w:rsidRPr="005E2E61">
        <w:rPr>
          <w:sz w:val="22"/>
          <w:szCs w:val="22"/>
          <w:u w:val="single"/>
          <w:lang w:eastAsia="zh-CN"/>
        </w:rPr>
        <w:t>FDI Act Stay Period</w:t>
      </w:r>
      <w:r>
        <w:rPr>
          <w:sz w:val="22"/>
          <w:szCs w:val="22"/>
          <w:lang w:eastAsia="zh-CN"/>
        </w:rPr>
        <w:t xml:space="preserve">, </w:t>
      </w:r>
      <w:r w:rsidR="003C7739">
        <w:rPr>
          <w:sz w:val="22"/>
          <w:szCs w:val="22"/>
          <w:lang w:eastAsia="zh-CN"/>
        </w:rPr>
        <w:t>any</w:t>
      </w:r>
      <w:r>
        <w:rPr>
          <w:sz w:val="22"/>
          <w:szCs w:val="22"/>
          <w:lang w:eastAsia="zh-CN"/>
        </w:rPr>
        <w:t xml:space="preserve"> </w:t>
      </w:r>
      <w:r w:rsidR="003C7739">
        <w:rPr>
          <w:sz w:val="22"/>
          <w:szCs w:val="22"/>
          <w:lang w:eastAsia="zh-CN"/>
        </w:rPr>
        <w:t xml:space="preserve">guaranty or other </w:t>
      </w:r>
      <w:r w:rsidR="00D5245C">
        <w:rPr>
          <w:sz w:val="22"/>
          <w:szCs w:val="22"/>
          <w:lang w:eastAsia="zh-CN"/>
        </w:rPr>
        <w:t>Credit Support Obligation</w:t>
      </w:r>
      <w:r w:rsidR="003C7739">
        <w:rPr>
          <w:sz w:val="22"/>
          <w:szCs w:val="22"/>
          <w:lang w:eastAsia="zh-CN"/>
        </w:rPr>
        <w:t xml:space="preserve"> provided by </w:t>
      </w:r>
      <w:r w:rsidR="00D5245C">
        <w:rPr>
          <w:sz w:val="22"/>
          <w:szCs w:val="22"/>
          <w:lang w:eastAsia="zh-CN"/>
        </w:rPr>
        <w:t xml:space="preserve">the Guarantor </w:t>
      </w:r>
      <w:r w:rsidR="003C7739">
        <w:rPr>
          <w:sz w:val="22"/>
          <w:szCs w:val="22"/>
          <w:lang w:eastAsia="zh-CN"/>
        </w:rPr>
        <w:t xml:space="preserve">in support </w:t>
      </w:r>
      <w:r w:rsidR="00D5245C">
        <w:rPr>
          <w:sz w:val="22"/>
          <w:szCs w:val="22"/>
          <w:lang w:eastAsia="zh-CN"/>
        </w:rPr>
        <w:t xml:space="preserve">of Party A’s obligations, as the </w:t>
      </w:r>
      <w:r>
        <w:rPr>
          <w:sz w:val="22"/>
          <w:szCs w:val="22"/>
          <w:lang w:eastAsia="zh-CN"/>
        </w:rPr>
        <w:t>Covered Affiliate Credit Enhancement</w:t>
      </w:r>
      <w:r w:rsidR="00D5245C">
        <w:rPr>
          <w:sz w:val="22"/>
          <w:szCs w:val="22"/>
          <w:lang w:eastAsia="zh-CN"/>
        </w:rPr>
        <w:t>,</w:t>
      </w:r>
      <w:r>
        <w:rPr>
          <w:sz w:val="22"/>
          <w:szCs w:val="22"/>
          <w:lang w:eastAsia="zh-CN"/>
        </w:rPr>
        <w:t xml:space="preserve"> is not </w:t>
      </w:r>
      <w:r>
        <w:rPr>
          <w:sz w:val="22"/>
          <w:szCs w:val="22"/>
          <w:lang w:eastAsia="zh-CN"/>
        </w:rPr>
        <w:lastRenderedPageBreak/>
        <w:t xml:space="preserve">transferred pursuant to </w:t>
      </w:r>
      <w:r w:rsidRPr="00A12C80">
        <w:rPr>
          <w:sz w:val="22"/>
          <w:szCs w:val="22"/>
          <w:lang w:eastAsia="zh-CN"/>
        </w:rPr>
        <w:t xml:space="preserve">12 U.S.C. 1821(e)(9)-(e)(10) and any regulations promulgated thereunder; </w:t>
      </w:r>
      <w:r>
        <w:rPr>
          <w:sz w:val="22"/>
          <w:szCs w:val="22"/>
          <w:lang w:eastAsia="zh-CN"/>
        </w:rPr>
        <w:t>and</w:t>
      </w:r>
    </w:p>
    <w:p w:rsidR="009E7D3A" w:rsidRDefault="009E7D3A" w:rsidP="009E7D3A">
      <w:pPr>
        <w:ind w:left="720" w:hanging="720"/>
        <w:jc w:val="both"/>
        <w:rPr>
          <w:sz w:val="22"/>
          <w:szCs w:val="22"/>
          <w:lang w:eastAsia="zh-CN"/>
        </w:rPr>
      </w:pPr>
    </w:p>
    <w:p w:rsidR="009E7D3A" w:rsidRPr="00820C78" w:rsidRDefault="001B288C" w:rsidP="00F107E8">
      <w:pPr>
        <w:ind w:left="2880"/>
        <w:rPr>
          <w:rFonts w:eastAsia="Calibri" w:cs="Arial"/>
          <w:sz w:val="22"/>
          <w:szCs w:val="22"/>
          <w:lang w:eastAsia="zh-CN" w:bidi="he-IL"/>
        </w:rPr>
      </w:pPr>
      <w:r w:rsidRPr="00820C78">
        <w:rPr>
          <w:rFonts w:eastAsia="Calibri" w:cs="Arial"/>
          <w:sz w:val="22"/>
          <w:szCs w:val="22"/>
          <w:u w:val="single"/>
          <w:lang w:eastAsia="zh-CN" w:bidi="he-IL"/>
        </w:rPr>
        <w:t>Corresponding Event of Default</w:t>
      </w:r>
      <w:r w:rsidRPr="00820C78">
        <w:rPr>
          <w:rFonts w:eastAsia="Calibri" w:cs="Arial"/>
          <w:sz w:val="22"/>
          <w:szCs w:val="22"/>
          <w:lang w:eastAsia="zh-CN" w:bidi="he-IL"/>
        </w:rPr>
        <w:t xml:space="preserve">:  </w:t>
      </w:r>
      <w:r w:rsidRPr="00820C78">
        <w:rPr>
          <w:rFonts w:eastAsia="Calibri" w:cs="Arial"/>
          <w:bCs/>
          <w:sz w:val="22"/>
          <w:szCs w:val="22"/>
          <w:lang w:eastAsia="zh-CN" w:bidi="he-IL"/>
        </w:rPr>
        <w:t>an Event of Default with respect to</w:t>
      </w:r>
      <w:r>
        <w:rPr>
          <w:rFonts w:eastAsia="Calibri" w:cs="Arial"/>
          <w:bCs/>
          <w:sz w:val="22"/>
          <w:szCs w:val="22"/>
          <w:lang w:eastAsia="zh-CN" w:bidi="he-IL"/>
        </w:rPr>
        <w:t xml:space="preserve"> Party A, as</w:t>
      </w:r>
      <w:r w:rsidRPr="00820C78">
        <w:rPr>
          <w:rFonts w:eastAsia="Calibri" w:cs="Arial"/>
          <w:bCs/>
          <w:sz w:val="22"/>
          <w:szCs w:val="22"/>
          <w:lang w:eastAsia="zh-CN" w:bidi="he-IL"/>
        </w:rPr>
        <w:t xml:space="preserve"> the Direct Party</w:t>
      </w:r>
      <w:r>
        <w:rPr>
          <w:rFonts w:eastAsia="Calibri" w:cs="Arial"/>
          <w:bCs/>
          <w:sz w:val="22"/>
          <w:szCs w:val="22"/>
          <w:lang w:eastAsia="zh-CN" w:bidi="he-IL"/>
        </w:rPr>
        <w:t>,</w:t>
      </w:r>
      <w:r w:rsidR="00D5245C">
        <w:rPr>
          <w:rFonts w:eastAsia="Calibri" w:cs="Arial"/>
          <w:bCs/>
          <w:sz w:val="22"/>
          <w:szCs w:val="22"/>
          <w:lang w:eastAsia="zh-CN" w:bidi="he-IL"/>
        </w:rPr>
        <w:t xml:space="preserve"> or the</w:t>
      </w:r>
      <w:r w:rsidRPr="00820C78">
        <w:rPr>
          <w:rFonts w:eastAsia="Calibri" w:cs="Arial"/>
          <w:bCs/>
          <w:sz w:val="22"/>
          <w:szCs w:val="22"/>
          <w:lang w:eastAsia="zh-CN" w:bidi="he-IL"/>
        </w:rPr>
        <w:t xml:space="preserve"> </w:t>
      </w:r>
      <w:r w:rsidR="00D5245C">
        <w:rPr>
          <w:rFonts w:eastAsia="Calibri" w:cs="Arial"/>
          <w:bCs/>
          <w:sz w:val="22"/>
          <w:szCs w:val="22"/>
          <w:lang w:eastAsia="zh-CN" w:bidi="he-IL"/>
        </w:rPr>
        <w:t xml:space="preserve">Guarantor of Party A’s obligations </w:t>
      </w:r>
      <w:r w:rsidRPr="00820C78">
        <w:rPr>
          <w:rFonts w:eastAsia="Calibri" w:cs="Arial"/>
          <w:bCs/>
          <w:sz w:val="22"/>
          <w:szCs w:val="22"/>
          <w:lang w:eastAsia="zh-CN" w:bidi="he-IL"/>
        </w:rPr>
        <w:t xml:space="preserve">under Section </w:t>
      </w:r>
      <w:r w:rsidR="00A4659E">
        <w:rPr>
          <w:rFonts w:eastAsia="Calibri" w:cs="Arial"/>
          <w:bCs/>
          <w:sz w:val="22"/>
          <w:szCs w:val="22"/>
          <w:lang w:eastAsia="zh-CN" w:bidi="he-IL"/>
        </w:rPr>
        <w:t>10.2</w:t>
      </w:r>
      <w:r w:rsidRPr="00820C78">
        <w:rPr>
          <w:rFonts w:eastAsia="Calibri" w:cs="Arial"/>
          <w:bCs/>
          <w:sz w:val="22"/>
          <w:szCs w:val="22"/>
          <w:lang w:eastAsia="zh-CN" w:bidi="he-IL"/>
        </w:rPr>
        <w:t>(</w:t>
      </w:r>
      <w:r w:rsidR="00A4659E">
        <w:rPr>
          <w:rFonts w:eastAsia="Calibri" w:cs="Arial"/>
          <w:bCs/>
          <w:sz w:val="22"/>
          <w:szCs w:val="22"/>
          <w:lang w:eastAsia="zh-CN" w:bidi="he-IL"/>
        </w:rPr>
        <w:t>i</w:t>
      </w:r>
      <w:r w:rsidRPr="00820C78">
        <w:rPr>
          <w:rFonts w:eastAsia="Calibri" w:cs="Arial"/>
          <w:bCs/>
          <w:sz w:val="22"/>
          <w:szCs w:val="22"/>
          <w:lang w:eastAsia="zh-CN" w:bidi="he-IL"/>
        </w:rPr>
        <w:t>)</w:t>
      </w:r>
      <w:r w:rsidR="00A4659E">
        <w:rPr>
          <w:rFonts w:eastAsia="Calibri" w:cs="Arial"/>
          <w:bCs/>
          <w:sz w:val="22"/>
          <w:szCs w:val="22"/>
          <w:lang w:eastAsia="zh-CN" w:bidi="he-IL"/>
        </w:rPr>
        <w:t>-(v)</w:t>
      </w:r>
      <w:r w:rsidRPr="00820C78">
        <w:rPr>
          <w:rFonts w:eastAsia="Calibri" w:cs="Arial"/>
          <w:bCs/>
          <w:sz w:val="22"/>
          <w:szCs w:val="22"/>
          <w:lang w:eastAsia="zh-CN" w:bidi="he-IL"/>
        </w:rPr>
        <w:t xml:space="preserve"> of </w:t>
      </w:r>
      <w:r>
        <w:rPr>
          <w:rFonts w:eastAsia="Calibri" w:cs="Arial"/>
          <w:bCs/>
          <w:sz w:val="22"/>
          <w:szCs w:val="22"/>
          <w:lang w:eastAsia="zh-CN" w:bidi="he-IL"/>
        </w:rPr>
        <w:t xml:space="preserve">this </w:t>
      </w:r>
      <w:r w:rsidR="00A4659E">
        <w:rPr>
          <w:rFonts w:eastAsia="Calibri" w:cs="Arial"/>
          <w:bCs/>
          <w:sz w:val="22"/>
          <w:szCs w:val="22"/>
          <w:lang w:eastAsia="zh-CN" w:bidi="he-IL"/>
        </w:rPr>
        <w:t>Contract</w:t>
      </w:r>
      <w:r w:rsidR="00F107E8">
        <w:rPr>
          <w:rFonts w:eastAsia="Calibri" w:cs="Arial"/>
          <w:bCs/>
          <w:sz w:val="22"/>
          <w:szCs w:val="22"/>
          <w:lang w:eastAsia="zh-CN" w:bidi="he-IL"/>
        </w:rPr>
        <w:t xml:space="preserve">, provided, that </w:t>
      </w:r>
      <w:r w:rsidR="001B4EB7" w:rsidRPr="001B4EB7">
        <w:rPr>
          <w:rFonts w:eastAsia="Calibri" w:cs="Arial"/>
          <w:bCs/>
          <w:sz w:val="22"/>
          <w:szCs w:val="22"/>
          <w:lang w:eastAsia="zh-CN" w:bidi="he-IL"/>
        </w:rPr>
        <w:t xml:space="preserve">the following additional </w:t>
      </w:r>
      <w:r w:rsidR="001B4EB7" w:rsidRPr="001B4EB7">
        <w:rPr>
          <w:rFonts w:eastAsia="Calibri" w:cs="Arial"/>
          <w:bCs/>
          <w:sz w:val="22"/>
          <w:szCs w:val="22"/>
          <w:u w:val="single"/>
          <w:lang w:eastAsia="zh-CN" w:bidi="he-IL"/>
        </w:rPr>
        <w:t>Commercial Provisions</w:t>
      </w:r>
      <w:r w:rsidR="001B4EB7" w:rsidRPr="001B4EB7">
        <w:rPr>
          <w:rFonts w:eastAsia="Calibri" w:cs="Arial"/>
          <w:bCs/>
          <w:sz w:val="22"/>
          <w:szCs w:val="22"/>
          <w:lang w:eastAsia="zh-CN" w:bidi="he-IL"/>
        </w:rPr>
        <w:t xml:space="preserve"> are required</w:t>
      </w:r>
      <w:r w:rsidR="00F107E8">
        <w:rPr>
          <w:rFonts w:eastAsia="Calibri" w:cs="Arial"/>
          <w:bCs/>
          <w:sz w:val="22"/>
          <w:szCs w:val="22"/>
          <w:lang w:eastAsia="zh-CN" w:bidi="he-IL"/>
        </w:rPr>
        <w:t>: None</w:t>
      </w:r>
      <w:r w:rsidRPr="00820C78">
        <w:rPr>
          <w:rFonts w:eastAsia="Calibri" w:cs="Arial"/>
          <w:bCs/>
          <w:sz w:val="22"/>
          <w:szCs w:val="22"/>
          <w:lang w:eastAsia="zh-CN" w:bidi="he-IL"/>
        </w:rPr>
        <w:t>; or</w:t>
      </w:r>
    </w:p>
    <w:p w:rsidR="009E7D3A" w:rsidRPr="00820C78" w:rsidRDefault="009E7D3A" w:rsidP="00F107E8">
      <w:pPr>
        <w:ind w:left="2880" w:hanging="720"/>
        <w:rPr>
          <w:rFonts w:eastAsia="Calibri" w:cs="Arial"/>
          <w:sz w:val="22"/>
          <w:szCs w:val="22"/>
          <w:lang w:eastAsia="zh-CN" w:bidi="he-IL"/>
        </w:rPr>
      </w:pPr>
    </w:p>
    <w:p w:rsidR="00A4659E" w:rsidRDefault="001B288C" w:rsidP="00F107E8">
      <w:pPr>
        <w:ind w:left="2880" w:hanging="720"/>
        <w:jc w:val="both"/>
        <w:rPr>
          <w:sz w:val="22"/>
          <w:szCs w:val="22"/>
          <w:lang w:eastAsia="zh-CN"/>
        </w:rPr>
      </w:pPr>
      <w:r>
        <w:rPr>
          <w:sz w:val="22"/>
          <w:szCs w:val="22"/>
          <w:lang w:eastAsia="zh-CN"/>
        </w:rPr>
        <w:t>(2)</w:t>
      </w:r>
      <w:r>
        <w:rPr>
          <w:sz w:val="22"/>
          <w:szCs w:val="22"/>
          <w:lang w:eastAsia="zh-CN"/>
        </w:rPr>
        <w:tab/>
      </w:r>
      <w:r w:rsidRPr="005B59FC">
        <w:rPr>
          <w:sz w:val="22"/>
          <w:szCs w:val="22"/>
          <w:u w:val="single"/>
          <w:lang w:eastAsia="zh-CN"/>
        </w:rPr>
        <w:t>CPP Event of Default</w:t>
      </w:r>
      <w:r>
        <w:rPr>
          <w:sz w:val="22"/>
          <w:szCs w:val="22"/>
          <w:lang w:eastAsia="zh-CN"/>
        </w:rPr>
        <w:t xml:space="preserve">.  </w:t>
      </w:r>
      <w:r w:rsidRPr="00A12C80">
        <w:rPr>
          <w:sz w:val="22"/>
          <w:szCs w:val="22"/>
          <w:lang w:eastAsia="zh-CN"/>
        </w:rPr>
        <w:t xml:space="preserve">With respect to </w:t>
      </w:r>
      <w:r>
        <w:rPr>
          <w:sz w:val="22"/>
          <w:szCs w:val="22"/>
          <w:lang w:eastAsia="zh-CN"/>
        </w:rPr>
        <w:t xml:space="preserve">this Contract, as </w:t>
      </w:r>
      <w:r w:rsidRPr="00A12C80">
        <w:rPr>
          <w:sz w:val="22"/>
          <w:szCs w:val="22"/>
          <w:lang w:eastAsia="zh-CN"/>
        </w:rPr>
        <w:t xml:space="preserve">a Covered Direct QFC that is supported by a Covered Affiliate Credit Enhancement, </w:t>
      </w:r>
      <w:r>
        <w:rPr>
          <w:sz w:val="22"/>
          <w:szCs w:val="22"/>
          <w:lang w:eastAsia="zh-CN"/>
        </w:rPr>
        <w:t xml:space="preserve">the Guarantor of </w:t>
      </w:r>
      <w:r>
        <w:rPr>
          <w:sz w:val="22"/>
          <w:szCs w:val="22"/>
          <w:lang w:eastAsia="zh-CN"/>
        </w:rPr>
        <w:t xml:space="preserve">Party A’s obligations, as </w:t>
      </w:r>
      <w:r w:rsidRPr="00A12C80">
        <w:rPr>
          <w:sz w:val="22"/>
          <w:szCs w:val="22"/>
          <w:lang w:eastAsia="zh-CN"/>
        </w:rPr>
        <w:t>the Covered Affiliate Support Provider</w:t>
      </w:r>
      <w:r>
        <w:rPr>
          <w:sz w:val="22"/>
          <w:szCs w:val="22"/>
          <w:lang w:eastAsia="zh-CN"/>
        </w:rPr>
        <w:t>,</w:t>
      </w:r>
      <w:r w:rsidRPr="00A12C80">
        <w:rPr>
          <w:sz w:val="22"/>
          <w:szCs w:val="22"/>
          <w:lang w:eastAsia="zh-CN"/>
        </w:rPr>
        <w:t xml:space="preserve"> becoming subject to proceedings under the FDI Act</w:t>
      </w:r>
      <w:r w:rsidR="00922E10">
        <w:rPr>
          <w:sz w:val="22"/>
          <w:szCs w:val="22"/>
          <w:lang w:eastAsia="zh-CN"/>
        </w:rPr>
        <w:t xml:space="preserve">, then, </w:t>
      </w:r>
      <w:r w:rsidR="00922E10" w:rsidRPr="00922E10">
        <w:rPr>
          <w:sz w:val="22"/>
          <w:szCs w:val="22"/>
          <w:u w:val="single"/>
          <w:lang w:eastAsia="zh-CN"/>
        </w:rPr>
        <w:t>during the applicable FDI Act Stay Period</w:t>
      </w:r>
      <w:r w:rsidR="00922E10">
        <w:rPr>
          <w:sz w:val="22"/>
          <w:szCs w:val="22"/>
          <w:lang w:eastAsia="zh-CN"/>
        </w:rPr>
        <w:t>,</w:t>
      </w:r>
      <w:r w:rsidRPr="00A12C80">
        <w:rPr>
          <w:sz w:val="22"/>
          <w:szCs w:val="22"/>
          <w:lang w:eastAsia="zh-CN"/>
        </w:rPr>
        <w:t xml:space="preserve"> </w:t>
      </w:r>
      <w:r w:rsidR="00922E10">
        <w:rPr>
          <w:sz w:val="22"/>
          <w:szCs w:val="22"/>
          <w:lang w:eastAsia="zh-CN"/>
        </w:rPr>
        <w:t xml:space="preserve">such event </w:t>
      </w:r>
      <w:r w:rsidRPr="00A12C80">
        <w:rPr>
          <w:sz w:val="22"/>
          <w:szCs w:val="22"/>
          <w:lang w:eastAsia="zh-CN"/>
        </w:rPr>
        <w:t xml:space="preserve">shall be an Event of Default with respect to </w:t>
      </w:r>
      <w:r>
        <w:rPr>
          <w:sz w:val="22"/>
          <w:szCs w:val="22"/>
          <w:lang w:eastAsia="zh-CN"/>
        </w:rPr>
        <w:t xml:space="preserve">Party A, as </w:t>
      </w:r>
      <w:r w:rsidRPr="00A12C80">
        <w:rPr>
          <w:sz w:val="22"/>
          <w:szCs w:val="22"/>
          <w:lang w:eastAsia="zh-CN"/>
        </w:rPr>
        <w:t>the Direct Party</w:t>
      </w:r>
      <w:r>
        <w:rPr>
          <w:sz w:val="22"/>
          <w:szCs w:val="22"/>
          <w:lang w:eastAsia="zh-CN"/>
        </w:rPr>
        <w:t>,</w:t>
      </w:r>
      <w:r w:rsidRPr="00A12C80">
        <w:rPr>
          <w:sz w:val="22"/>
          <w:szCs w:val="22"/>
          <w:lang w:eastAsia="zh-CN"/>
        </w:rPr>
        <w:t xml:space="preserve"> under Section </w:t>
      </w:r>
      <w:r>
        <w:rPr>
          <w:sz w:val="22"/>
          <w:szCs w:val="22"/>
          <w:lang w:eastAsia="zh-CN"/>
        </w:rPr>
        <w:t>10.2</w:t>
      </w:r>
      <w:r w:rsidRPr="00A12C80">
        <w:rPr>
          <w:sz w:val="22"/>
          <w:szCs w:val="22"/>
          <w:lang w:eastAsia="zh-CN"/>
        </w:rPr>
        <w:t>(</w:t>
      </w:r>
      <w:r w:rsidR="008661E0">
        <w:rPr>
          <w:sz w:val="22"/>
          <w:szCs w:val="22"/>
          <w:lang w:eastAsia="zh-CN"/>
        </w:rPr>
        <w:t>i</w:t>
      </w:r>
      <w:r>
        <w:rPr>
          <w:sz w:val="22"/>
          <w:szCs w:val="22"/>
          <w:lang w:eastAsia="zh-CN"/>
        </w:rPr>
        <w:t>)-(v</w:t>
      </w:r>
      <w:r w:rsidRPr="00A12C80">
        <w:rPr>
          <w:sz w:val="22"/>
          <w:szCs w:val="22"/>
          <w:lang w:eastAsia="zh-CN"/>
        </w:rPr>
        <w:t xml:space="preserve">) of </w:t>
      </w:r>
      <w:r>
        <w:rPr>
          <w:sz w:val="22"/>
          <w:szCs w:val="22"/>
          <w:lang w:eastAsia="zh-CN"/>
        </w:rPr>
        <w:t>this Contract, as the</w:t>
      </w:r>
      <w:r w:rsidRPr="00A12C80">
        <w:rPr>
          <w:sz w:val="22"/>
          <w:szCs w:val="22"/>
          <w:lang w:eastAsia="zh-CN"/>
        </w:rPr>
        <w:t xml:space="preserve"> Covered Direct QFC</w:t>
      </w:r>
      <w:r w:rsidR="008661E0">
        <w:rPr>
          <w:sz w:val="22"/>
          <w:szCs w:val="22"/>
          <w:lang w:eastAsia="zh-CN"/>
        </w:rPr>
        <w:t>,</w:t>
      </w:r>
      <w:r>
        <w:rPr>
          <w:sz w:val="22"/>
          <w:szCs w:val="22"/>
          <w:lang w:eastAsia="zh-CN"/>
        </w:rPr>
        <w:t xml:space="preserve"> </w:t>
      </w:r>
      <w:r w:rsidR="005A71FD" w:rsidRPr="005E2E61">
        <w:rPr>
          <w:rFonts w:eastAsia="Calibri" w:cs="Arial"/>
          <w:sz w:val="22"/>
          <w:szCs w:val="22"/>
          <w:lang w:eastAsia="zh-CN" w:bidi="he-IL"/>
        </w:rPr>
        <w:t>but only to</w:t>
      </w:r>
      <w:r w:rsidR="005A71FD">
        <w:rPr>
          <w:rFonts w:eastAsia="Calibri" w:cs="Arial"/>
          <w:sz w:val="22"/>
          <w:szCs w:val="22"/>
          <w:lang w:eastAsia="zh-CN" w:bidi="he-IL"/>
        </w:rPr>
        <w:t xml:space="preserve"> the extent necessary to permit Party B</w:t>
      </w:r>
      <w:r w:rsidR="005A71FD" w:rsidRPr="005E2E61">
        <w:rPr>
          <w:rFonts w:eastAsia="Calibri" w:cs="Arial"/>
          <w:sz w:val="22"/>
          <w:szCs w:val="22"/>
          <w:lang w:eastAsia="zh-CN" w:bidi="he-IL"/>
        </w:rPr>
        <w:t xml:space="preserve">, </w:t>
      </w:r>
      <w:r w:rsidR="005A71FD">
        <w:rPr>
          <w:rFonts w:eastAsia="Calibri" w:cs="Arial"/>
          <w:sz w:val="22"/>
          <w:szCs w:val="22"/>
          <w:lang w:eastAsia="zh-CN" w:bidi="he-IL"/>
        </w:rPr>
        <w:t xml:space="preserve">as </w:t>
      </w:r>
      <w:r w:rsidR="005A71FD" w:rsidRPr="005E2E61">
        <w:rPr>
          <w:rFonts w:eastAsia="Calibri" w:cs="Arial"/>
          <w:sz w:val="22"/>
          <w:szCs w:val="22"/>
          <w:lang w:eastAsia="zh-CN" w:bidi="he-IL"/>
        </w:rPr>
        <w:t>the Counterparty Entity</w:t>
      </w:r>
      <w:r w:rsidR="005A71FD">
        <w:rPr>
          <w:rFonts w:eastAsia="Calibri" w:cs="Arial"/>
          <w:sz w:val="22"/>
          <w:szCs w:val="22"/>
          <w:lang w:eastAsia="zh-CN" w:bidi="he-IL"/>
        </w:rPr>
        <w:t>, t</w:t>
      </w:r>
      <w:r w:rsidR="005A71FD" w:rsidRPr="005E2E61">
        <w:rPr>
          <w:rFonts w:eastAsia="Calibri" w:cs="Arial"/>
          <w:sz w:val="22"/>
          <w:szCs w:val="22"/>
          <w:lang w:eastAsia="zh-CN" w:bidi="he-IL"/>
        </w:rPr>
        <w:t xml:space="preserve">o suspend its performance </w:t>
      </w:r>
      <w:r w:rsidR="005A71FD">
        <w:rPr>
          <w:rFonts w:eastAsia="Calibri" w:cs="Arial"/>
          <w:sz w:val="22"/>
          <w:szCs w:val="22"/>
          <w:lang w:eastAsia="zh-CN" w:bidi="he-IL"/>
        </w:rPr>
        <w:t xml:space="preserve">pursuant to Section 10.2 of this </w:t>
      </w:r>
      <w:r w:rsidR="001478BD">
        <w:rPr>
          <w:rFonts w:eastAsia="Calibri" w:cs="Arial"/>
          <w:sz w:val="22"/>
          <w:szCs w:val="22"/>
          <w:lang w:eastAsia="zh-CN" w:bidi="he-IL"/>
        </w:rPr>
        <w:t>Contract</w:t>
      </w:r>
      <w:r w:rsidR="005A71FD">
        <w:rPr>
          <w:rFonts w:eastAsia="Calibri" w:cs="Arial"/>
          <w:sz w:val="22"/>
          <w:szCs w:val="22"/>
          <w:lang w:eastAsia="zh-CN" w:bidi="he-IL"/>
        </w:rPr>
        <w:t xml:space="preserve"> with respect to the Counterparty Entity’s obligations under this </w:t>
      </w:r>
      <w:r w:rsidR="001478BD">
        <w:rPr>
          <w:rFonts w:eastAsia="Calibri" w:cs="Arial"/>
          <w:sz w:val="22"/>
          <w:szCs w:val="22"/>
          <w:lang w:eastAsia="zh-CN" w:bidi="he-IL"/>
        </w:rPr>
        <w:t>Contract</w:t>
      </w:r>
      <w:r w:rsidR="005A71FD">
        <w:rPr>
          <w:rFonts w:eastAsia="Calibri" w:cs="Arial"/>
          <w:sz w:val="22"/>
          <w:szCs w:val="22"/>
          <w:lang w:eastAsia="zh-CN" w:bidi="he-IL"/>
        </w:rPr>
        <w:t xml:space="preserve">, as the Covered Direct QFC, to the same extent as such Counterparty Entity would be entitled under the FDI Act to suspend its performance under this </w:t>
      </w:r>
      <w:r w:rsidR="001478BD">
        <w:rPr>
          <w:rFonts w:eastAsia="Calibri" w:cs="Arial"/>
          <w:sz w:val="22"/>
          <w:szCs w:val="22"/>
          <w:lang w:eastAsia="zh-CN" w:bidi="he-IL"/>
        </w:rPr>
        <w:t>Contract</w:t>
      </w:r>
      <w:r w:rsidR="005A71FD">
        <w:rPr>
          <w:rFonts w:eastAsia="Calibri" w:cs="Arial"/>
          <w:sz w:val="22"/>
          <w:szCs w:val="22"/>
          <w:lang w:eastAsia="zh-CN" w:bidi="he-IL"/>
        </w:rPr>
        <w:t xml:space="preserve">, if this </w:t>
      </w:r>
      <w:r w:rsidR="001478BD">
        <w:rPr>
          <w:rFonts w:eastAsia="Calibri" w:cs="Arial"/>
          <w:sz w:val="22"/>
          <w:szCs w:val="22"/>
          <w:lang w:eastAsia="zh-CN" w:bidi="he-IL"/>
        </w:rPr>
        <w:t>Contract</w:t>
      </w:r>
      <w:r w:rsidR="005A71FD">
        <w:rPr>
          <w:rFonts w:eastAsia="Calibri" w:cs="Arial"/>
          <w:sz w:val="22"/>
          <w:szCs w:val="22"/>
          <w:lang w:eastAsia="zh-CN" w:bidi="he-IL"/>
        </w:rPr>
        <w:t xml:space="preserve"> were with such Covered Affiliate Support Provider and were treated in the same manner as such Covered Affiliate Credit Enhancement under the FDI Act and Section 10.2 of this </w:t>
      </w:r>
      <w:r w:rsidR="001478BD">
        <w:rPr>
          <w:rFonts w:eastAsia="Calibri" w:cs="Arial"/>
          <w:sz w:val="22"/>
          <w:szCs w:val="22"/>
          <w:lang w:eastAsia="zh-CN" w:bidi="he-IL"/>
        </w:rPr>
        <w:t>Contract</w:t>
      </w:r>
      <w:r w:rsidRPr="00A12C80">
        <w:rPr>
          <w:sz w:val="22"/>
          <w:szCs w:val="22"/>
          <w:lang w:eastAsia="zh-CN"/>
        </w:rPr>
        <w:t xml:space="preserve">; </w:t>
      </w:r>
      <w:r>
        <w:rPr>
          <w:sz w:val="22"/>
          <w:szCs w:val="22"/>
          <w:lang w:eastAsia="zh-CN"/>
        </w:rPr>
        <w:t>and</w:t>
      </w:r>
    </w:p>
    <w:p w:rsidR="00A4659E" w:rsidRDefault="00A4659E" w:rsidP="00A4659E">
      <w:pPr>
        <w:ind w:left="720" w:hanging="720"/>
        <w:jc w:val="both"/>
        <w:rPr>
          <w:sz w:val="22"/>
          <w:szCs w:val="22"/>
          <w:lang w:eastAsia="zh-CN"/>
        </w:rPr>
      </w:pPr>
    </w:p>
    <w:p w:rsidR="00A12C80" w:rsidRPr="00F17A6B" w:rsidRDefault="001B288C" w:rsidP="00F107E8">
      <w:pPr>
        <w:ind w:left="2880"/>
        <w:rPr>
          <w:rFonts w:eastAsia="Calibri" w:cs="Arial"/>
          <w:sz w:val="22"/>
          <w:szCs w:val="22"/>
          <w:lang w:eastAsia="zh-CN" w:bidi="he-IL"/>
        </w:rPr>
      </w:pPr>
      <w:r w:rsidRPr="00820C78">
        <w:rPr>
          <w:rFonts w:eastAsia="Calibri" w:cs="Arial"/>
          <w:sz w:val="22"/>
          <w:szCs w:val="22"/>
          <w:u w:val="single"/>
          <w:lang w:eastAsia="zh-CN" w:bidi="he-IL"/>
        </w:rPr>
        <w:t>Corresponding Event of Default</w:t>
      </w:r>
      <w:r w:rsidRPr="00820C78">
        <w:rPr>
          <w:rFonts w:eastAsia="Calibri" w:cs="Arial"/>
          <w:sz w:val="22"/>
          <w:szCs w:val="22"/>
          <w:lang w:eastAsia="zh-CN" w:bidi="he-IL"/>
        </w:rPr>
        <w:t xml:space="preserve">:  </w:t>
      </w:r>
      <w:r w:rsidRPr="00820C78">
        <w:rPr>
          <w:rFonts w:eastAsia="Calibri" w:cs="Arial"/>
          <w:bCs/>
          <w:sz w:val="22"/>
          <w:szCs w:val="22"/>
          <w:lang w:eastAsia="zh-CN" w:bidi="he-IL"/>
        </w:rPr>
        <w:t>an Event of Default with respect to</w:t>
      </w:r>
      <w:r>
        <w:rPr>
          <w:rFonts w:eastAsia="Calibri" w:cs="Arial"/>
          <w:bCs/>
          <w:sz w:val="22"/>
          <w:szCs w:val="22"/>
          <w:lang w:eastAsia="zh-CN" w:bidi="he-IL"/>
        </w:rPr>
        <w:t xml:space="preserve"> Party A, as</w:t>
      </w:r>
      <w:r w:rsidRPr="00820C78">
        <w:rPr>
          <w:rFonts w:eastAsia="Calibri" w:cs="Arial"/>
          <w:bCs/>
          <w:sz w:val="22"/>
          <w:szCs w:val="22"/>
          <w:lang w:eastAsia="zh-CN" w:bidi="he-IL"/>
        </w:rPr>
        <w:t xml:space="preserve"> the Direct Party</w:t>
      </w:r>
      <w:r>
        <w:rPr>
          <w:rFonts w:eastAsia="Calibri" w:cs="Arial"/>
          <w:bCs/>
          <w:sz w:val="22"/>
          <w:szCs w:val="22"/>
          <w:lang w:eastAsia="zh-CN" w:bidi="he-IL"/>
        </w:rPr>
        <w:t>, or the</w:t>
      </w:r>
      <w:r w:rsidRPr="00820C78">
        <w:rPr>
          <w:rFonts w:eastAsia="Calibri" w:cs="Arial"/>
          <w:bCs/>
          <w:sz w:val="22"/>
          <w:szCs w:val="22"/>
          <w:lang w:eastAsia="zh-CN" w:bidi="he-IL"/>
        </w:rPr>
        <w:t xml:space="preserve"> </w:t>
      </w:r>
      <w:r>
        <w:rPr>
          <w:rFonts w:eastAsia="Calibri" w:cs="Arial"/>
          <w:bCs/>
          <w:sz w:val="22"/>
          <w:szCs w:val="22"/>
          <w:lang w:eastAsia="zh-CN" w:bidi="he-IL"/>
        </w:rPr>
        <w:t xml:space="preserve">Guarantor of Party A’s obligations </w:t>
      </w:r>
      <w:r w:rsidRPr="00820C78">
        <w:rPr>
          <w:rFonts w:eastAsia="Calibri" w:cs="Arial"/>
          <w:bCs/>
          <w:sz w:val="22"/>
          <w:szCs w:val="22"/>
          <w:lang w:eastAsia="zh-CN" w:bidi="he-IL"/>
        </w:rPr>
        <w:t xml:space="preserve">under Section </w:t>
      </w:r>
      <w:r>
        <w:rPr>
          <w:rFonts w:eastAsia="Calibri" w:cs="Arial"/>
          <w:bCs/>
          <w:sz w:val="22"/>
          <w:szCs w:val="22"/>
          <w:lang w:eastAsia="zh-CN" w:bidi="he-IL"/>
        </w:rPr>
        <w:t>10.2</w:t>
      </w:r>
      <w:r w:rsidRPr="00820C78">
        <w:rPr>
          <w:rFonts w:eastAsia="Calibri" w:cs="Arial"/>
          <w:bCs/>
          <w:sz w:val="22"/>
          <w:szCs w:val="22"/>
          <w:lang w:eastAsia="zh-CN" w:bidi="he-IL"/>
        </w:rPr>
        <w:t>(</w:t>
      </w:r>
      <w:r>
        <w:rPr>
          <w:rFonts w:eastAsia="Calibri" w:cs="Arial"/>
          <w:bCs/>
          <w:sz w:val="22"/>
          <w:szCs w:val="22"/>
          <w:lang w:eastAsia="zh-CN" w:bidi="he-IL"/>
        </w:rPr>
        <w:t>i</w:t>
      </w:r>
      <w:r w:rsidRPr="00820C78">
        <w:rPr>
          <w:rFonts w:eastAsia="Calibri" w:cs="Arial"/>
          <w:bCs/>
          <w:sz w:val="22"/>
          <w:szCs w:val="22"/>
          <w:lang w:eastAsia="zh-CN" w:bidi="he-IL"/>
        </w:rPr>
        <w:t>)</w:t>
      </w:r>
      <w:r>
        <w:rPr>
          <w:rFonts w:eastAsia="Calibri" w:cs="Arial"/>
          <w:bCs/>
          <w:sz w:val="22"/>
          <w:szCs w:val="22"/>
          <w:lang w:eastAsia="zh-CN" w:bidi="he-IL"/>
        </w:rPr>
        <w:t>-(v)</w:t>
      </w:r>
      <w:r w:rsidRPr="00820C78">
        <w:rPr>
          <w:rFonts w:eastAsia="Calibri" w:cs="Arial"/>
          <w:bCs/>
          <w:sz w:val="22"/>
          <w:szCs w:val="22"/>
          <w:lang w:eastAsia="zh-CN" w:bidi="he-IL"/>
        </w:rPr>
        <w:t xml:space="preserve"> of </w:t>
      </w:r>
      <w:r>
        <w:rPr>
          <w:rFonts w:eastAsia="Calibri" w:cs="Arial"/>
          <w:bCs/>
          <w:sz w:val="22"/>
          <w:szCs w:val="22"/>
          <w:lang w:eastAsia="zh-CN" w:bidi="he-IL"/>
        </w:rPr>
        <w:t>this Contract</w:t>
      </w:r>
      <w:r w:rsidR="00F107E8" w:rsidRPr="00F107E8">
        <w:rPr>
          <w:rFonts w:eastAsia="Calibri" w:cs="Arial"/>
          <w:bCs/>
          <w:sz w:val="22"/>
          <w:szCs w:val="22"/>
          <w:lang w:eastAsia="zh-CN" w:bidi="he-IL"/>
        </w:rPr>
        <w:t>, provided, that</w:t>
      </w:r>
      <w:r w:rsidR="001B4EB7" w:rsidRPr="001B4EB7">
        <w:rPr>
          <w:rFonts w:eastAsia="SimSun"/>
          <w:sz w:val="22"/>
          <w:szCs w:val="22"/>
          <w:lang w:bidi="he-IL"/>
        </w:rPr>
        <w:t xml:space="preserve"> </w:t>
      </w:r>
      <w:r w:rsidR="001B4EB7" w:rsidRPr="001B4EB7">
        <w:rPr>
          <w:rFonts w:eastAsia="Calibri" w:cs="Arial"/>
          <w:bCs/>
          <w:sz w:val="22"/>
          <w:szCs w:val="22"/>
          <w:lang w:eastAsia="zh-CN" w:bidi="he-IL"/>
        </w:rPr>
        <w:t xml:space="preserve">the following additional </w:t>
      </w:r>
      <w:r w:rsidR="001B4EB7" w:rsidRPr="001B4EB7">
        <w:rPr>
          <w:rFonts w:eastAsia="Calibri" w:cs="Arial"/>
          <w:bCs/>
          <w:sz w:val="22"/>
          <w:szCs w:val="22"/>
          <w:u w:val="single"/>
          <w:lang w:eastAsia="zh-CN" w:bidi="he-IL"/>
        </w:rPr>
        <w:t>Commercial Provisions</w:t>
      </w:r>
      <w:r w:rsidR="001B4EB7" w:rsidRPr="001B4EB7">
        <w:rPr>
          <w:rFonts w:eastAsia="Calibri" w:cs="Arial"/>
          <w:bCs/>
          <w:sz w:val="22"/>
          <w:szCs w:val="22"/>
          <w:lang w:eastAsia="zh-CN" w:bidi="he-IL"/>
        </w:rPr>
        <w:t xml:space="preserve"> are required</w:t>
      </w:r>
      <w:r w:rsidR="00F107E8" w:rsidRPr="00F107E8">
        <w:rPr>
          <w:rFonts w:eastAsia="Calibri" w:cs="Arial"/>
          <w:bCs/>
          <w:sz w:val="22"/>
          <w:szCs w:val="22"/>
          <w:lang w:eastAsia="zh-CN" w:bidi="he-IL"/>
        </w:rPr>
        <w:t>: None</w:t>
      </w:r>
      <w:r w:rsidR="00F17A6B">
        <w:rPr>
          <w:rFonts w:eastAsia="Calibri" w:cs="Arial"/>
          <w:bCs/>
          <w:sz w:val="22"/>
          <w:szCs w:val="22"/>
          <w:lang w:eastAsia="zh-CN" w:bidi="he-IL"/>
        </w:rPr>
        <w:t>.</w:t>
      </w:r>
    </w:p>
    <w:p w:rsidR="00A12C80" w:rsidRDefault="00A12C80" w:rsidP="006A126D">
      <w:pPr>
        <w:ind w:left="1440" w:hanging="720"/>
        <w:rPr>
          <w:sz w:val="22"/>
          <w:szCs w:val="22"/>
          <w:lang w:eastAsia="zh-CN"/>
        </w:rPr>
      </w:pPr>
    </w:p>
    <w:p w:rsidR="00AF1FEF" w:rsidRPr="0013538C" w:rsidRDefault="001B288C" w:rsidP="0013538C">
      <w:pPr>
        <w:ind w:left="1440" w:hanging="720"/>
        <w:rPr>
          <w:sz w:val="22"/>
          <w:szCs w:val="22"/>
          <w:lang w:eastAsia="zh-CN"/>
        </w:rPr>
      </w:pPr>
      <w:r w:rsidRPr="00AF1FEF">
        <w:rPr>
          <w:sz w:val="22"/>
          <w:szCs w:val="22"/>
          <w:lang w:eastAsia="zh-CN"/>
        </w:rPr>
        <w:t>(</w:t>
      </w:r>
      <w:r w:rsidR="004B0EE3">
        <w:rPr>
          <w:sz w:val="22"/>
          <w:szCs w:val="22"/>
          <w:lang w:eastAsia="zh-CN"/>
        </w:rPr>
        <w:t>h</w:t>
      </w:r>
      <w:r w:rsidRPr="00AF1FEF">
        <w:rPr>
          <w:sz w:val="22"/>
          <w:szCs w:val="22"/>
          <w:lang w:eastAsia="zh-CN"/>
        </w:rPr>
        <w:t>)</w:t>
      </w:r>
      <w:r w:rsidRPr="00AF1FEF">
        <w:rPr>
          <w:sz w:val="22"/>
          <w:szCs w:val="22"/>
          <w:lang w:eastAsia="zh-CN"/>
        </w:rPr>
        <w:tab/>
      </w:r>
      <w:r w:rsidRPr="00F556B3">
        <w:rPr>
          <w:sz w:val="22"/>
          <w:szCs w:val="22"/>
          <w:u w:val="single"/>
          <w:lang w:eastAsia="zh-CN"/>
        </w:rPr>
        <w:t>Definitions.</w:t>
      </w:r>
      <w:r w:rsidR="00D34C3D">
        <w:rPr>
          <w:sz w:val="22"/>
          <w:szCs w:val="22"/>
          <w:lang w:eastAsia="zh-CN"/>
        </w:rPr>
        <w:t xml:space="preserve">  For purposes of this </w:t>
      </w:r>
      <w:r w:rsidR="000D5217">
        <w:rPr>
          <w:sz w:val="22"/>
          <w:szCs w:val="22"/>
          <w:lang w:eastAsia="zh-CN"/>
        </w:rPr>
        <w:t>Section 15.[13]</w:t>
      </w:r>
      <w:r w:rsidR="00D34C3D">
        <w:rPr>
          <w:sz w:val="22"/>
          <w:szCs w:val="22"/>
          <w:lang w:eastAsia="zh-CN"/>
        </w:rPr>
        <w:t>, c</w:t>
      </w:r>
      <w:r w:rsidRPr="00AF1FEF">
        <w:rPr>
          <w:sz w:val="22"/>
          <w:szCs w:val="22"/>
          <w:lang w:eastAsia="zh-CN"/>
        </w:rPr>
        <w:t xml:space="preserve">apitalized terms used in this </w:t>
      </w:r>
      <w:r w:rsidR="000D5217">
        <w:rPr>
          <w:sz w:val="22"/>
          <w:szCs w:val="22"/>
          <w:lang w:eastAsia="zh-CN"/>
        </w:rPr>
        <w:t>Section 15.[13</w:t>
      </w:r>
      <w:r w:rsidR="00A12C80">
        <w:rPr>
          <w:sz w:val="22"/>
          <w:szCs w:val="22"/>
          <w:lang w:eastAsia="zh-CN"/>
        </w:rPr>
        <w:t>]</w:t>
      </w:r>
      <w:r w:rsidRPr="00AF1FEF">
        <w:rPr>
          <w:sz w:val="22"/>
          <w:szCs w:val="22"/>
          <w:lang w:eastAsia="zh-CN"/>
        </w:rPr>
        <w:t>, and not otherwise defined, shall have the meanings set forth below</w:t>
      </w:r>
      <w:r w:rsidR="004269F1">
        <w:rPr>
          <w:sz w:val="22"/>
          <w:szCs w:val="22"/>
          <w:lang w:eastAsia="zh-CN"/>
        </w:rPr>
        <w:t xml:space="preserve">. </w:t>
      </w:r>
      <w:r w:rsidR="008F00EC">
        <w:rPr>
          <w:sz w:val="22"/>
          <w:szCs w:val="22"/>
          <w:lang w:eastAsia="zh-CN"/>
        </w:rPr>
        <w:t xml:space="preserve"> </w:t>
      </w:r>
      <w:r w:rsidR="004269F1" w:rsidRPr="004269F1">
        <w:rPr>
          <w:sz w:val="22"/>
          <w:szCs w:val="22"/>
          <w:lang w:eastAsia="zh-CN"/>
        </w:rPr>
        <w:t>Capitalized terms used in this Section 15.[13] without definition shall have the meanings assigned to them under the QFC Stay Rules</w:t>
      </w:r>
      <w:r w:rsidR="000C06C3">
        <w:rPr>
          <w:sz w:val="22"/>
          <w:szCs w:val="22"/>
          <w:lang w:eastAsia="zh-CN"/>
        </w:rPr>
        <w:t>.</w:t>
      </w:r>
    </w:p>
    <w:p w:rsidR="00E9752F" w:rsidRDefault="00E9752F" w:rsidP="00A12C80">
      <w:pPr>
        <w:ind w:left="1440"/>
        <w:rPr>
          <w:rFonts w:eastAsia="Calibri"/>
          <w:sz w:val="22"/>
          <w:szCs w:val="22"/>
        </w:rPr>
      </w:pPr>
    </w:p>
    <w:p w:rsidR="00252032" w:rsidRPr="00252032" w:rsidRDefault="001B288C" w:rsidP="00252032">
      <w:pPr>
        <w:ind w:left="1440"/>
        <w:rPr>
          <w:rFonts w:eastAsia="Calibri"/>
          <w:sz w:val="22"/>
          <w:szCs w:val="22"/>
        </w:rPr>
      </w:pPr>
      <w:r w:rsidRPr="00252032">
        <w:rPr>
          <w:rFonts w:eastAsia="Calibri"/>
          <w:sz w:val="22"/>
          <w:szCs w:val="22"/>
        </w:rPr>
        <w:t>“</w:t>
      </w:r>
      <w:r w:rsidRPr="00252032">
        <w:rPr>
          <w:rFonts w:eastAsia="Calibri"/>
          <w:b/>
          <w:iCs/>
          <w:sz w:val="22"/>
          <w:szCs w:val="22"/>
        </w:rPr>
        <w:t>BHCA</w:t>
      </w:r>
      <w:r w:rsidRPr="00252032">
        <w:rPr>
          <w:rFonts w:eastAsia="Calibri"/>
          <w:b/>
          <w:sz w:val="22"/>
          <w:szCs w:val="22"/>
        </w:rPr>
        <w:t xml:space="preserve"> </w:t>
      </w:r>
      <w:r w:rsidRPr="00252032">
        <w:rPr>
          <w:rFonts w:eastAsia="Calibri"/>
          <w:b/>
          <w:iCs/>
          <w:sz w:val="22"/>
          <w:szCs w:val="22"/>
        </w:rPr>
        <w:t>Affiliate</w:t>
      </w:r>
      <w:r w:rsidRPr="00252032">
        <w:rPr>
          <w:rFonts w:eastAsia="Calibri"/>
          <w:sz w:val="22"/>
          <w:szCs w:val="22"/>
        </w:rPr>
        <w:t>” has the same meaning as th</w:t>
      </w:r>
      <w:r w:rsidRPr="00252032">
        <w:rPr>
          <w:rFonts w:eastAsia="Calibri"/>
          <w:sz w:val="22"/>
          <w:szCs w:val="22"/>
        </w:rPr>
        <w:t xml:space="preserve">e term “affiliate” as defined in, and shall be interpreted in accordance with, 12 U.S.C. 1841(k). </w:t>
      </w:r>
    </w:p>
    <w:p w:rsidR="00F12F66" w:rsidRPr="00F12F66" w:rsidRDefault="00F12F66" w:rsidP="00F12F66">
      <w:pPr>
        <w:ind w:left="1440"/>
        <w:rPr>
          <w:rFonts w:eastAsia="Calibri"/>
          <w:sz w:val="22"/>
          <w:szCs w:val="22"/>
        </w:rPr>
      </w:pPr>
    </w:p>
    <w:p w:rsidR="00F12F66" w:rsidRPr="00F12F66" w:rsidRDefault="001B288C" w:rsidP="00F12F66">
      <w:pPr>
        <w:ind w:left="1440"/>
        <w:rPr>
          <w:rFonts w:eastAsia="Calibri"/>
          <w:sz w:val="22"/>
          <w:szCs w:val="22"/>
        </w:rPr>
      </w:pPr>
      <w:r w:rsidRPr="00F12F66">
        <w:rPr>
          <w:rFonts w:eastAsia="Calibri"/>
          <w:sz w:val="22"/>
          <w:szCs w:val="22"/>
        </w:rPr>
        <w:t>“</w:t>
      </w:r>
      <w:r w:rsidRPr="00F12F66">
        <w:rPr>
          <w:rFonts w:eastAsia="Calibri"/>
          <w:b/>
          <w:sz w:val="22"/>
          <w:szCs w:val="22"/>
        </w:rPr>
        <w:t>Counterpart</w:t>
      </w:r>
      <w:r w:rsidR="00981BDB">
        <w:rPr>
          <w:rFonts w:eastAsia="Calibri"/>
          <w:b/>
          <w:sz w:val="22"/>
          <w:szCs w:val="22"/>
        </w:rPr>
        <w:t>y Entit</w:t>
      </w:r>
      <w:r w:rsidRPr="00F12F66">
        <w:rPr>
          <w:rFonts w:eastAsia="Calibri"/>
          <w:b/>
          <w:sz w:val="22"/>
          <w:szCs w:val="22"/>
        </w:rPr>
        <w:t>y</w:t>
      </w:r>
      <w:r w:rsidRPr="00F12F66">
        <w:rPr>
          <w:rFonts w:eastAsia="Calibri"/>
          <w:sz w:val="22"/>
          <w:szCs w:val="22"/>
        </w:rPr>
        <w:t>” means</w:t>
      </w:r>
      <w:r w:rsidR="00244420">
        <w:rPr>
          <w:rFonts w:eastAsia="Calibri"/>
          <w:sz w:val="22"/>
          <w:szCs w:val="22"/>
        </w:rPr>
        <w:t xml:space="preserve"> each</w:t>
      </w:r>
      <w:r w:rsidRPr="00F12F66">
        <w:rPr>
          <w:rFonts w:eastAsia="Calibri"/>
          <w:sz w:val="22"/>
          <w:szCs w:val="22"/>
        </w:rPr>
        <w:t xml:space="preserve"> party to this </w:t>
      </w:r>
      <w:r>
        <w:rPr>
          <w:rFonts w:eastAsia="Calibri"/>
          <w:sz w:val="22"/>
          <w:szCs w:val="22"/>
        </w:rPr>
        <w:t>Contract</w:t>
      </w:r>
      <w:r w:rsidRPr="00F12F66">
        <w:rPr>
          <w:rFonts w:eastAsia="Calibri"/>
          <w:sz w:val="22"/>
          <w:szCs w:val="22"/>
        </w:rPr>
        <w:t xml:space="preserve"> that is not a Covered Entity.</w:t>
      </w:r>
    </w:p>
    <w:p w:rsidR="00252032" w:rsidRDefault="00252032" w:rsidP="00A12C80">
      <w:pPr>
        <w:ind w:left="1440"/>
        <w:rPr>
          <w:rFonts w:eastAsia="Calibri"/>
          <w:sz w:val="22"/>
          <w:szCs w:val="22"/>
        </w:rPr>
      </w:pPr>
    </w:p>
    <w:p w:rsidR="00E9752F" w:rsidRDefault="001B288C" w:rsidP="00A12C80">
      <w:pPr>
        <w:ind w:left="1440"/>
        <w:rPr>
          <w:rFonts w:eastAsia="Calibri"/>
          <w:sz w:val="22"/>
          <w:szCs w:val="22"/>
        </w:rPr>
      </w:pPr>
      <w:r>
        <w:rPr>
          <w:rFonts w:eastAsia="Calibri"/>
          <w:sz w:val="22"/>
          <w:szCs w:val="22"/>
        </w:rPr>
        <w:t>“</w:t>
      </w:r>
      <w:r w:rsidRPr="00AA0B40">
        <w:rPr>
          <w:rFonts w:eastAsia="Calibri"/>
          <w:b/>
          <w:sz w:val="22"/>
          <w:szCs w:val="22"/>
        </w:rPr>
        <w:t xml:space="preserve">Covered </w:t>
      </w:r>
      <w:r>
        <w:rPr>
          <w:rFonts w:eastAsia="Calibri"/>
          <w:b/>
          <w:sz w:val="22"/>
          <w:szCs w:val="22"/>
        </w:rPr>
        <w:t>Affiliate Credit Enhancement</w:t>
      </w:r>
      <w:r w:rsidR="0013538C">
        <w:rPr>
          <w:rFonts w:eastAsia="Calibri"/>
          <w:sz w:val="22"/>
          <w:szCs w:val="22"/>
        </w:rPr>
        <w:t xml:space="preserve">” means a </w:t>
      </w:r>
      <w:r w:rsidR="006D672F">
        <w:rPr>
          <w:rFonts w:eastAsia="Calibri"/>
          <w:sz w:val="22"/>
          <w:szCs w:val="22"/>
        </w:rPr>
        <w:t>Credit E</w:t>
      </w:r>
      <w:r>
        <w:rPr>
          <w:rFonts w:eastAsia="Calibri"/>
          <w:sz w:val="22"/>
          <w:szCs w:val="22"/>
        </w:rPr>
        <w:t>nhancement</w:t>
      </w:r>
      <w:r w:rsidR="0099791E">
        <w:rPr>
          <w:rFonts w:eastAsia="Calibri"/>
          <w:sz w:val="22"/>
          <w:szCs w:val="22"/>
        </w:rPr>
        <w:t xml:space="preserve"> provided by</w:t>
      </w:r>
      <w:r>
        <w:rPr>
          <w:rFonts w:eastAsia="Calibri"/>
          <w:sz w:val="22"/>
          <w:szCs w:val="22"/>
        </w:rPr>
        <w:t xml:space="preserve"> a</w:t>
      </w:r>
      <w:r w:rsidR="006D672F">
        <w:rPr>
          <w:rFonts w:eastAsia="Calibri"/>
          <w:sz w:val="22"/>
          <w:szCs w:val="22"/>
        </w:rPr>
        <w:t xml:space="preserve"> Covered Entity</w:t>
      </w:r>
      <w:r>
        <w:rPr>
          <w:rFonts w:eastAsia="Calibri"/>
          <w:sz w:val="22"/>
          <w:szCs w:val="22"/>
        </w:rPr>
        <w:t xml:space="preserve"> </w:t>
      </w:r>
      <w:r w:rsidR="0099791E">
        <w:rPr>
          <w:rFonts w:eastAsia="Calibri"/>
          <w:sz w:val="22"/>
          <w:szCs w:val="22"/>
        </w:rPr>
        <w:t xml:space="preserve">that </w:t>
      </w:r>
      <w:r>
        <w:rPr>
          <w:rFonts w:eastAsia="Calibri"/>
          <w:sz w:val="22"/>
          <w:szCs w:val="22"/>
        </w:rPr>
        <w:t xml:space="preserve">is </w:t>
      </w:r>
      <w:r w:rsidR="0099791E">
        <w:rPr>
          <w:rFonts w:eastAsia="Calibri"/>
          <w:sz w:val="22"/>
          <w:szCs w:val="22"/>
        </w:rPr>
        <w:t>a BHCA Affiliate of Party A</w:t>
      </w:r>
      <w:r>
        <w:rPr>
          <w:rFonts w:eastAsia="Calibri"/>
          <w:sz w:val="22"/>
          <w:szCs w:val="22"/>
        </w:rPr>
        <w:t>.</w:t>
      </w:r>
    </w:p>
    <w:p w:rsidR="00E9752F" w:rsidRDefault="00E9752F" w:rsidP="00A12C80">
      <w:pPr>
        <w:ind w:left="1440"/>
        <w:rPr>
          <w:rFonts w:eastAsia="Calibri"/>
          <w:sz w:val="22"/>
          <w:szCs w:val="22"/>
        </w:rPr>
      </w:pPr>
    </w:p>
    <w:p w:rsidR="00E9752F" w:rsidRDefault="001B288C" w:rsidP="00A12C80">
      <w:pPr>
        <w:ind w:left="1440"/>
        <w:rPr>
          <w:rFonts w:eastAsia="Calibri"/>
          <w:sz w:val="22"/>
          <w:szCs w:val="22"/>
        </w:rPr>
      </w:pPr>
      <w:r>
        <w:rPr>
          <w:rFonts w:eastAsia="Calibri"/>
          <w:sz w:val="22"/>
          <w:szCs w:val="22"/>
        </w:rPr>
        <w:t>“</w:t>
      </w:r>
      <w:r w:rsidRPr="00E9752F">
        <w:rPr>
          <w:rFonts w:eastAsia="Calibri"/>
          <w:b/>
          <w:sz w:val="22"/>
          <w:szCs w:val="22"/>
        </w:rPr>
        <w:t>Covered Affiliate Support Provider</w:t>
      </w:r>
      <w:r>
        <w:rPr>
          <w:rFonts w:eastAsia="Calibri"/>
          <w:sz w:val="22"/>
          <w:szCs w:val="22"/>
        </w:rPr>
        <w:t>” means</w:t>
      </w:r>
      <w:r w:rsidR="005B1856" w:rsidRPr="005B1856">
        <w:rPr>
          <w:rFonts w:eastAsia="Calibri"/>
          <w:sz w:val="22"/>
          <w:szCs w:val="22"/>
        </w:rPr>
        <w:t xml:space="preserve"> an obligor on any Covered Affiliate Credit Enhancement that is a BHCA Affiliate of Party A, provided that it is not a Transferee</w:t>
      </w:r>
      <w:r w:rsidR="005B1856">
        <w:rPr>
          <w:rFonts w:eastAsia="Calibri"/>
          <w:sz w:val="22"/>
          <w:szCs w:val="22"/>
        </w:rPr>
        <w:t>.</w:t>
      </w:r>
    </w:p>
    <w:p w:rsidR="00E9752F" w:rsidRDefault="00E9752F" w:rsidP="00A12C80">
      <w:pPr>
        <w:ind w:left="1440"/>
        <w:rPr>
          <w:rFonts w:eastAsia="Calibri"/>
          <w:sz w:val="22"/>
          <w:szCs w:val="22"/>
        </w:rPr>
      </w:pPr>
    </w:p>
    <w:p w:rsidR="00AA0B40" w:rsidRDefault="001B288C" w:rsidP="00A12C80">
      <w:pPr>
        <w:ind w:left="1440"/>
        <w:rPr>
          <w:rFonts w:eastAsia="Calibri"/>
          <w:sz w:val="22"/>
          <w:szCs w:val="22"/>
        </w:rPr>
      </w:pPr>
      <w:r>
        <w:rPr>
          <w:rFonts w:eastAsia="Calibri"/>
          <w:sz w:val="22"/>
          <w:szCs w:val="22"/>
        </w:rPr>
        <w:t>“</w:t>
      </w:r>
      <w:r w:rsidRPr="00AA0B40">
        <w:rPr>
          <w:rFonts w:eastAsia="Calibri"/>
          <w:b/>
          <w:sz w:val="22"/>
          <w:szCs w:val="22"/>
        </w:rPr>
        <w:t xml:space="preserve">Covered </w:t>
      </w:r>
      <w:r w:rsidRPr="00AA0B40">
        <w:rPr>
          <w:rFonts w:eastAsia="Calibri"/>
          <w:b/>
          <w:sz w:val="22"/>
          <w:szCs w:val="22"/>
        </w:rPr>
        <w:t>Direct QFC</w:t>
      </w:r>
      <w:r>
        <w:rPr>
          <w:rFonts w:eastAsia="Calibri"/>
          <w:sz w:val="22"/>
          <w:szCs w:val="22"/>
        </w:rPr>
        <w:t xml:space="preserve">” means </w:t>
      </w:r>
      <w:r w:rsidR="00E9752F">
        <w:rPr>
          <w:rFonts w:eastAsia="Calibri"/>
          <w:sz w:val="22"/>
          <w:szCs w:val="22"/>
        </w:rPr>
        <w:t>a Direct QFC to which a Covered E</w:t>
      </w:r>
      <w:r w:rsidR="00D34785">
        <w:rPr>
          <w:rFonts w:eastAsia="Calibri"/>
          <w:sz w:val="22"/>
          <w:szCs w:val="22"/>
        </w:rPr>
        <w:t xml:space="preserve">ntity </w:t>
      </w:r>
      <w:r>
        <w:rPr>
          <w:rFonts w:eastAsia="Calibri"/>
          <w:sz w:val="22"/>
          <w:szCs w:val="22"/>
        </w:rPr>
        <w:t>is a party</w:t>
      </w:r>
      <w:r w:rsidR="006D672F">
        <w:rPr>
          <w:rFonts w:eastAsia="Calibri"/>
          <w:sz w:val="22"/>
          <w:szCs w:val="22"/>
        </w:rPr>
        <w:t xml:space="preserve"> (including all transactions thereunder)</w:t>
      </w:r>
      <w:r>
        <w:rPr>
          <w:rFonts w:eastAsia="Calibri"/>
          <w:sz w:val="22"/>
          <w:szCs w:val="22"/>
        </w:rPr>
        <w:t>.</w:t>
      </w:r>
      <w:r w:rsidR="00CB20BC">
        <w:rPr>
          <w:rFonts w:eastAsia="Calibri"/>
          <w:sz w:val="22"/>
          <w:szCs w:val="22"/>
        </w:rPr>
        <w:t xml:space="preserve">  </w:t>
      </w:r>
      <w:r w:rsidR="00CB20BC" w:rsidRPr="00CB20BC">
        <w:rPr>
          <w:rFonts w:eastAsia="Calibri"/>
          <w:sz w:val="22"/>
          <w:szCs w:val="22"/>
        </w:rPr>
        <w:t xml:space="preserve">This </w:t>
      </w:r>
      <w:r w:rsidR="00CB20BC">
        <w:rPr>
          <w:rFonts w:eastAsia="Calibri"/>
          <w:sz w:val="22"/>
          <w:szCs w:val="22"/>
        </w:rPr>
        <w:t>Contract</w:t>
      </w:r>
      <w:r w:rsidR="00CB20BC" w:rsidRPr="00CB20BC">
        <w:rPr>
          <w:rFonts w:eastAsia="Calibri"/>
          <w:sz w:val="22"/>
          <w:szCs w:val="22"/>
        </w:rPr>
        <w:t xml:space="preserve"> is a Covered Direct QFC.</w:t>
      </w:r>
    </w:p>
    <w:p w:rsidR="00AA0B40" w:rsidRDefault="00AA0B40" w:rsidP="00A12C80">
      <w:pPr>
        <w:ind w:left="1440"/>
        <w:rPr>
          <w:rFonts w:eastAsia="Calibri"/>
          <w:sz w:val="22"/>
          <w:szCs w:val="22"/>
        </w:rPr>
      </w:pPr>
    </w:p>
    <w:p w:rsidR="009E5E50" w:rsidRDefault="001B288C" w:rsidP="00A12C80">
      <w:pPr>
        <w:ind w:left="1440"/>
        <w:rPr>
          <w:rFonts w:eastAsiaTheme="minorHAnsi"/>
          <w:sz w:val="22"/>
          <w:szCs w:val="22"/>
        </w:rPr>
      </w:pPr>
      <w:r>
        <w:rPr>
          <w:rFonts w:eastAsiaTheme="minorHAnsi"/>
          <w:sz w:val="22"/>
          <w:szCs w:val="22"/>
        </w:rPr>
        <w:lastRenderedPageBreak/>
        <w:t>“</w:t>
      </w:r>
      <w:r w:rsidRPr="009E5E50">
        <w:rPr>
          <w:rFonts w:eastAsiaTheme="minorHAnsi"/>
          <w:b/>
          <w:sz w:val="22"/>
          <w:szCs w:val="22"/>
        </w:rPr>
        <w:t>Covered Entity</w:t>
      </w:r>
      <w:r>
        <w:rPr>
          <w:rFonts w:eastAsiaTheme="minorHAnsi"/>
          <w:sz w:val="22"/>
          <w:szCs w:val="22"/>
        </w:rPr>
        <w:t xml:space="preserve">” means </w:t>
      </w:r>
      <w:bookmarkStart w:id="7" w:name="_Hlk11181459"/>
      <w:r>
        <w:rPr>
          <w:rFonts w:eastAsiaTheme="minorHAnsi"/>
          <w:sz w:val="22"/>
          <w:szCs w:val="22"/>
        </w:rPr>
        <w:t>a “covered entity” as described in Section 252.82(b) of the FRB Rules</w:t>
      </w:r>
      <w:bookmarkEnd w:id="7"/>
      <w:r>
        <w:rPr>
          <w:rFonts w:eastAsiaTheme="minorHAnsi"/>
          <w:sz w:val="22"/>
          <w:szCs w:val="22"/>
        </w:rPr>
        <w:t>,</w:t>
      </w:r>
      <w:r w:rsidRPr="00C61B0D">
        <w:rPr>
          <w:rFonts w:eastAsia="Calibri"/>
          <w:sz w:val="22"/>
          <w:szCs w:val="22"/>
        </w:rPr>
        <w:t xml:space="preserve"> </w:t>
      </w:r>
      <w:r w:rsidRPr="00C61B0D">
        <w:rPr>
          <w:rFonts w:eastAsiaTheme="minorHAnsi"/>
          <w:sz w:val="22"/>
          <w:szCs w:val="22"/>
        </w:rPr>
        <w:t xml:space="preserve">a </w:t>
      </w:r>
      <w:r>
        <w:rPr>
          <w:rFonts w:eastAsiaTheme="minorHAnsi"/>
          <w:sz w:val="22"/>
          <w:szCs w:val="22"/>
        </w:rPr>
        <w:t>“c</w:t>
      </w:r>
      <w:r w:rsidRPr="00C61B0D">
        <w:rPr>
          <w:rFonts w:eastAsiaTheme="minorHAnsi"/>
          <w:sz w:val="22"/>
          <w:szCs w:val="22"/>
        </w:rPr>
        <w:t xml:space="preserve">overed </w:t>
      </w:r>
      <w:r w:rsidR="000D50BD">
        <w:rPr>
          <w:rFonts w:eastAsiaTheme="minorHAnsi"/>
          <w:sz w:val="22"/>
          <w:szCs w:val="22"/>
        </w:rPr>
        <w:t>FSI</w:t>
      </w:r>
      <w:r>
        <w:rPr>
          <w:rFonts w:eastAsiaTheme="minorHAnsi"/>
          <w:sz w:val="22"/>
          <w:szCs w:val="22"/>
        </w:rPr>
        <w:t>” as</w:t>
      </w:r>
      <w:r w:rsidRPr="00C61B0D">
        <w:rPr>
          <w:rFonts w:eastAsiaTheme="minorHAnsi"/>
          <w:sz w:val="22"/>
          <w:szCs w:val="22"/>
        </w:rPr>
        <w:t xml:space="preserve"> described in </w:t>
      </w:r>
      <w:r>
        <w:rPr>
          <w:rFonts w:eastAsiaTheme="minorHAnsi"/>
          <w:sz w:val="22"/>
          <w:szCs w:val="22"/>
        </w:rPr>
        <w:t xml:space="preserve">Section </w:t>
      </w:r>
      <w:r w:rsidRPr="00C61B0D">
        <w:rPr>
          <w:rFonts w:eastAsiaTheme="minorHAnsi"/>
          <w:sz w:val="22"/>
          <w:szCs w:val="22"/>
        </w:rPr>
        <w:t xml:space="preserve">382.2(b) </w:t>
      </w:r>
      <w:r>
        <w:rPr>
          <w:rFonts w:eastAsiaTheme="minorHAnsi"/>
          <w:sz w:val="22"/>
          <w:szCs w:val="22"/>
        </w:rPr>
        <w:t xml:space="preserve">of the FDIC Rules, or a “covered </w:t>
      </w:r>
      <w:r w:rsidR="000D50BD">
        <w:rPr>
          <w:rFonts w:eastAsiaTheme="minorHAnsi"/>
          <w:sz w:val="22"/>
          <w:szCs w:val="22"/>
        </w:rPr>
        <w:t>bank</w:t>
      </w:r>
      <w:r>
        <w:rPr>
          <w:rFonts w:eastAsiaTheme="minorHAnsi"/>
          <w:sz w:val="22"/>
          <w:szCs w:val="22"/>
        </w:rPr>
        <w:t>” as described in Section 47.3(b) of the OCC Rules.</w:t>
      </w:r>
    </w:p>
    <w:p w:rsidR="009E5E50" w:rsidRDefault="009E5E50" w:rsidP="00A12C80">
      <w:pPr>
        <w:ind w:left="1440"/>
        <w:rPr>
          <w:rFonts w:eastAsia="Calibri"/>
          <w:sz w:val="22"/>
          <w:szCs w:val="22"/>
        </w:rPr>
      </w:pPr>
    </w:p>
    <w:p w:rsidR="00D34C3D" w:rsidRDefault="001B288C" w:rsidP="00A12C80">
      <w:pPr>
        <w:ind w:left="1440"/>
        <w:rPr>
          <w:rFonts w:eastAsia="Calibri"/>
          <w:sz w:val="22"/>
          <w:szCs w:val="22"/>
        </w:rPr>
      </w:pPr>
      <w:r w:rsidRPr="00D34C3D">
        <w:rPr>
          <w:rFonts w:eastAsia="Calibri"/>
          <w:sz w:val="22"/>
          <w:szCs w:val="22"/>
        </w:rPr>
        <w:t>“</w:t>
      </w:r>
      <w:r w:rsidRPr="00D34C3D">
        <w:rPr>
          <w:rFonts w:eastAsia="Calibri"/>
          <w:b/>
          <w:sz w:val="22"/>
          <w:szCs w:val="22"/>
        </w:rPr>
        <w:t>Credit Enhancement</w:t>
      </w:r>
      <w:r w:rsidRPr="00D34C3D">
        <w:rPr>
          <w:rFonts w:eastAsia="Calibri"/>
          <w:sz w:val="22"/>
          <w:szCs w:val="22"/>
        </w:rPr>
        <w:t>” means any credit enhancement or credit support arrangement in</w:t>
      </w:r>
      <w:r w:rsidR="00AF595D">
        <w:rPr>
          <w:rFonts w:eastAsia="Calibri"/>
          <w:sz w:val="22"/>
          <w:szCs w:val="22"/>
        </w:rPr>
        <w:t xml:space="preserve"> support of the obligations of </w:t>
      </w:r>
      <w:r w:rsidR="00CB20BC" w:rsidRPr="00CB20BC">
        <w:rPr>
          <w:rFonts w:eastAsia="Calibri"/>
          <w:sz w:val="22"/>
          <w:szCs w:val="22"/>
        </w:rPr>
        <w:t xml:space="preserve">a Covered Entity or the Counterparty Entity under or with respect to </w:t>
      </w:r>
      <w:r w:rsidR="00CB20BC">
        <w:rPr>
          <w:rFonts w:eastAsia="Calibri"/>
          <w:sz w:val="22"/>
          <w:szCs w:val="22"/>
        </w:rPr>
        <w:t>this Contract</w:t>
      </w:r>
      <w:r w:rsidRPr="00D34C3D">
        <w:rPr>
          <w:rFonts w:eastAsia="Calibri"/>
          <w:sz w:val="22"/>
          <w:szCs w:val="22"/>
        </w:rPr>
        <w:t>, including any guarantee, collateral arrangement (including any pledge, charge, mortgage or other security interest in collateral or title transfer arrangement), trust or similar arrangeme</w:t>
      </w:r>
      <w:r w:rsidRPr="00D34C3D">
        <w:rPr>
          <w:rFonts w:eastAsia="Calibri"/>
          <w:sz w:val="22"/>
          <w:szCs w:val="22"/>
        </w:rPr>
        <w:t>nt, letter of credit, transfer of margin or any similar arrangement.</w:t>
      </w:r>
    </w:p>
    <w:p w:rsidR="00E71293" w:rsidRDefault="00E71293" w:rsidP="00E71293">
      <w:pPr>
        <w:ind w:left="1440"/>
        <w:rPr>
          <w:rFonts w:eastAsia="Calibri"/>
          <w:sz w:val="22"/>
          <w:szCs w:val="22"/>
        </w:rPr>
      </w:pPr>
    </w:p>
    <w:p w:rsidR="00E71293" w:rsidRPr="00E71293" w:rsidRDefault="001B288C" w:rsidP="00E71293">
      <w:pPr>
        <w:ind w:left="1440"/>
        <w:rPr>
          <w:rFonts w:eastAsia="Calibri"/>
          <w:sz w:val="22"/>
          <w:szCs w:val="22"/>
        </w:rPr>
      </w:pPr>
      <w:r w:rsidRPr="00E71293">
        <w:rPr>
          <w:rFonts w:eastAsia="Calibri"/>
          <w:sz w:val="22"/>
          <w:szCs w:val="22"/>
        </w:rPr>
        <w:t>“</w:t>
      </w:r>
      <w:r w:rsidRPr="00E71293">
        <w:rPr>
          <w:rFonts w:eastAsia="Calibri"/>
          <w:b/>
          <w:sz w:val="22"/>
          <w:szCs w:val="22"/>
        </w:rPr>
        <w:t>Creditor Protection Provisions</w:t>
      </w:r>
      <w:r w:rsidRPr="00E71293">
        <w:rPr>
          <w:rFonts w:eastAsia="Calibri"/>
          <w:sz w:val="22"/>
          <w:szCs w:val="22"/>
        </w:rPr>
        <w:t xml:space="preserve">” means those provisions of the QFC Stay Rules set forth in Sections 252.84(d), (f) and (h) of the FRB Rules, Sections 382.4(d), (f), and (h) of the FDIC </w:t>
      </w:r>
      <w:r w:rsidRPr="00E71293">
        <w:rPr>
          <w:rFonts w:eastAsia="Calibri"/>
          <w:sz w:val="22"/>
          <w:szCs w:val="22"/>
        </w:rPr>
        <w:t>Rules, and Sections 47.5(d), (f), and (h) of the OCC Rules.</w:t>
      </w:r>
    </w:p>
    <w:p w:rsidR="00E9752F" w:rsidRDefault="00E9752F" w:rsidP="00A12C80">
      <w:pPr>
        <w:ind w:left="1440"/>
        <w:rPr>
          <w:rFonts w:eastAsia="Calibri"/>
          <w:sz w:val="22"/>
          <w:szCs w:val="22"/>
        </w:rPr>
      </w:pPr>
    </w:p>
    <w:p w:rsidR="00A97295" w:rsidRPr="00A97295" w:rsidRDefault="001B288C" w:rsidP="00A97295">
      <w:pPr>
        <w:ind w:left="1440"/>
        <w:rPr>
          <w:rFonts w:eastAsia="Calibri"/>
          <w:sz w:val="22"/>
          <w:szCs w:val="22"/>
        </w:rPr>
      </w:pPr>
      <w:r w:rsidRPr="00A97295">
        <w:rPr>
          <w:rFonts w:eastAsia="Calibri"/>
          <w:sz w:val="22"/>
          <w:szCs w:val="22"/>
        </w:rPr>
        <w:t>“</w:t>
      </w:r>
      <w:r w:rsidRPr="00A97295">
        <w:rPr>
          <w:rFonts w:eastAsia="Calibri"/>
          <w:b/>
          <w:sz w:val="22"/>
          <w:szCs w:val="22"/>
        </w:rPr>
        <w:t>Default Right</w:t>
      </w:r>
      <w:r w:rsidRPr="00A97295">
        <w:rPr>
          <w:rFonts w:eastAsia="Calibri"/>
          <w:sz w:val="22"/>
          <w:szCs w:val="22"/>
        </w:rPr>
        <w:t xml:space="preserve">” </w:t>
      </w:r>
      <w:r>
        <w:rPr>
          <w:rFonts w:eastAsia="Calibri"/>
          <w:sz w:val="22"/>
          <w:szCs w:val="22"/>
        </w:rPr>
        <w:t>h</w:t>
      </w:r>
      <w:r w:rsidR="003736BE" w:rsidRPr="003736BE">
        <w:rPr>
          <w:rFonts w:eastAsia="Calibri"/>
          <w:sz w:val="22"/>
          <w:szCs w:val="22"/>
        </w:rPr>
        <w:t xml:space="preserve">as </w:t>
      </w:r>
      <w:r>
        <w:rPr>
          <w:rFonts w:eastAsia="Calibri"/>
          <w:sz w:val="22"/>
          <w:szCs w:val="22"/>
        </w:rPr>
        <w:t xml:space="preserve">the meaning set forth </w:t>
      </w:r>
      <w:r w:rsidR="003736BE" w:rsidRPr="003736BE">
        <w:rPr>
          <w:rFonts w:eastAsia="Calibri"/>
          <w:sz w:val="22"/>
          <w:szCs w:val="22"/>
        </w:rPr>
        <w:t xml:space="preserve">in </w:t>
      </w:r>
      <w:r w:rsidRPr="00A97295">
        <w:rPr>
          <w:rFonts w:eastAsia="Calibri"/>
          <w:sz w:val="22"/>
          <w:szCs w:val="22"/>
        </w:rPr>
        <w:t>Section 252.81 of the FRB Rules</w:t>
      </w:r>
      <w:r>
        <w:rPr>
          <w:rFonts w:eastAsia="Calibri"/>
          <w:sz w:val="22"/>
          <w:szCs w:val="22"/>
        </w:rPr>
        <w:t>,</w:t>
      </w:r>
      <w:r w:rsidRPr="00A97295">
        <w:rPr>
          <w:rFonts w:eastAsia="Calibri"/>
          <w:sz w:val="22"/>
          <w:szCs w:val="22"/>
        </w:rPr>
        <w:t xml:space="preserve"> Section 382.1 of the FDIC Rules, an</w:t>
      </w:r>
      <w:r>
        <w:rPr>
          <w:rFonts w:eastAsia="Calibri"/>
          <w:sz w:val="22"/>
          <w:szCs w:val="22"/>
        </w:rPr>
        <w:t>d Section 47.2 of the OCC Rules</w:t>
      </w:r>
      <w:r w:rsidRPr="00A97295">
        <w:rPr>
          <w:rFonts w:eastAsia="Calibri"/>
          <w:sz w:val="22"/>
          <w:szCs w:val="22"/>
        </w:rPr>
        <w:t xml:space="preserve"> </w:t>
      </w:r>
      <w:r>
        <w:rPr>
          <w:rFonts w:eastAsia="Calibri"/>
          <w:sz w:val="22"/>
          <w:szCs w:val="22"/>
        </w:rPr>
        <w:t>(</w:t>
      </w:r>
      <w:r w:rsidR="003736BE" w:rsidRPr="003736BE">
        <w:rPr>
          <w:rFonts w:eastAsia="Calibri"/>
          <w:sz w:val="22"/>
          <w:szCs w:val="22"/>
        </w:rPr>
        <w:t>12 C.F.R. §§ 252.81, 47.2 or 382.1, as applicable)</w:t>
      </w:r>
      <w:r>
        <w:rPr>
          <w:rFonts w:eastAsia="Calibri"/>
          <w:sz w:val="22"/>
          <w:szCs w:val="22"/>
        </w:rPr>
        <w:t xml:space="preserve">, which QFC Stay Rules specify that </w:t>
      </w:r>
      <w:r w:rsidRPr="00A97295">
        <w:rPr>
          <w:rFonts w:eastAsia="Calibri"/>
          <w:sz w:val="22"/>
          <w:szCs w:val="22"/>
        </w:rPr>
        <w:t>“</w:t>
      </w:r>
      <w:r w:rsidRPr="00A97295">
        <w:rPr>
          <w:rFonts w:eastAsia="Calibri"/>
          <w:b/>
          <w:i/>
          <w:iCs/>
          <w:sz w:val="22"/>
          <w:szCs w:val="22"/>
        </w:rPr>
        <w:t>Default right</w:t>
      </w:r>
      <w:r w:rsidRPr="00A97295">
        <w:rPr>
          <w:rFonts w:eastAsia="Calibri"/>
          <w:i/>
          <w:iCs/>
          <w:sz w:val="22"/>
          <w:szCs w:val="22"/>
        </w:rPr>
        <w:t xml:space="preserve"> </w:t>
      </w:r>
      <w:r w:rsidRPr="00A97295">
        <w:rPr>
          <w:rFonts w:eastAsia="Calibri"/>
          <w:sz w:val="22"/>
          <w:szCs w:val="22"/>
        </w:rPr>
        <w:t>(1) Means, with respect to a QFC, any: (i) Right of a party, whether contractual or otherwise (including, without limitation, rights incorporated by reference to any other contract, agreement, or document</w:t>
      </w:r>
      <w:r w:rsidRPr="00A97295">
        <w:rPr>
          <w:rFonts w:eastAsia="Calibri"/>
          <w:sz w:val="22"/>
          <w:szCs w:val="22"/>
        </w:rPr>
        <w:t xml:space="preserve">, and rights afforded by statute, civil code, regulation, and common law), to liquidate, </w:t>
      </w:r>
      <w:r w:rsidRPr="00A97295">
        <w:rPr>
          <w:rFonts w:eastAsia="Calibri"/>
          <w:sz w:val="22"/>
          <w:szCs w:val="22"/>
          <w:u w:val="single"/>
        </w:rPr>
        <w:t>terminate</w:t>
      </w:r>
      <w:r w:rsidRPr="00A97295">
        <w:rPr>
          <w:rFonts w:eastAsia="Calibri"/>
          <w:sz w:val="22"/>
          <w:szCs w:val="22"/>
        </w:rPr>
        <w:t xml:space="preserve">, cancel, rescind, or accelerate such agreement or transactions thereunder, </w:t>
      </w:r>
      <w:r w:rsidRPr="00A97295">
        <w:rPr>
          <w:rFonts w:eastAsia="Calibri"/>
          <w:sz w:val="22"/>
          <w:szCs w:val="22"/>
          <w:u w:val="single"/>
        </w:rPr>
        <w:t>set off or net amounts owing in respect thereto (except rights related to same-day</w:t>
      </w:r>
      <w:r w:rsidRPr="00A97295">
        <w:rPr>
          <w:rFonts w:eastAsia="Calibri"/>
          <w:sz w:val="22"/>
          <w:szCs w:val="22"/>
          <w:u w:val="single"/>
        </w:rPr>
        <w:t xml:space="preserve"> payment netting</w:t>
      </w:r>
      <w:r w:rsidRPr="00A97295">
        <w:rPr>
          <w:rFonts w:eastAsia="Calibri"/>
          <w:sz w:val="22"/>
          <w:szCs w:val="22"/>
        </w:rPr>
        <w:t xml:space="preserve">), </w:t>
      </w:r>
      <w:r w:rsidRPr="00A97295">
        <w:rPr>
          <w:rFonts w:eastAsia="Calibri"/>
          <w:sz w:val="22"/>
          <w:szCs w:val="22"/>
          <w:u w:val="single"/>
        </w:rPr>
        <w:t>exercise remedies in respect of collateral or other credit support or property related thereto</w:t>
      </w:r>
      <w:r w:rsidRPr="00A97295">
        <w:rPr>
          <w:rFonts w:eastAsia="Calibri"/>
          <w:sz w:val="22"/>
          <w:szCs w:val="22"/>
        </w:rPr>
        <w:t xml:space="preserve"> (including the purchase and sale of property), demand payment or delivery thereunder or in respect thereof (other than a right or operation of</w:t>
      </w:r>
      <w:r w:rsidRPr="00A97295">
        <w:rPr>
          <w:rFonts w:eastAsia="Calibri"/>
          <w:sz w:val="22"/>
          <w:szCs w:val="22"/>
        </w:rPr>
        <w:t xml:space="preserve"> a contractual provision arising solely from a change in the value of collateral or margin or a change in the amount of an economic exposure), </w:t>
      </w:r>
      <w:r w:rsidRPr="00A97295">
        <w:rPr>
          <w:rFonts w:eastAsia="Calibri"/>
          <w:sz w:val="22"/>
          <w:szCs w:val="22"/>
          <w:u w:val="single"/>
        </w:rPr>
        <w:t>suspend, delay, or defer payment or performance thereunder</w:t>
      </w:r>
      <w:r w:rsidRPr="00A97295">
        <w:rPr>
          <w:rFonts w:eastAsia="Calibri"/>
          <w:sz w:val="22"/>
          <w:szCs w:val="22"/>
        </w:rPr>
        <w:t>, or modify the obligations of a party thereunder, or a</w:t>
      </w:r>
      <w:r w:rsidRPr="00A97295">
        <w:rPr>
          <w:rFonts w:eastAsia="Calibri"/>
          <w:sz w:val="22"/>
          <w:szCs w:val="22"/>
        </w:rPr>
        <w:t>ny similar rights; and (ii) Right or contractual provision that alters the amount of collateral or margin that must be provided with respect to an exposure thereunder, including by altering any initial amount, threshold amount, variation margin, minimum tr</w:t>
      </w:r>
      <w:r w:rsidRPr="00A97295">
        <w:rPr>
          <w:rFonts w:eastAsia="Calibri"/>
          <w:sz w:val="22"/>
          <w:szCs w:val="22"/>
        </w:rPr>
        <w:t>ansfer amount, the margin value of collateral, or any similar amount, that entitles a party to demand the return of any collateral or margin transferred by it to the other party or a custodian or</w:t>
      </w:r>
      <w:r w:rsidRPr="00A97295">
        <w:t xml:space="preserve"> </w:t>
      </w:r>
      <w:r w:rsidRPr="00A97295">
        <w:rPr>
          <w:rFonts w:eastAsia="Calibri"/>
          <w:sz w:val="22"/>
          <w:szCs w:val="22"/>
        </w:rPr>
        <w:t>that modifies a transferee’s right to reuse collateral or ma</w:t>
      </w:r>
      <w:r w:rsidRPr="00A97295">
        <w:rPr>
          <w:rFonts w:eastAsia="Calibri"/>
          <w:sz w:val="22"/>
          <w:szCs w:val="22"/>
        </w:rPr>
        <w:t>rgin (if such right previously existed), or any similar rights, in each case, other than a right or operation of a contractual provision arising solely from a change in the value of collateral or margin or a change in the amount of an economic exposure; [a</w:t>
      </w:r>
      <w:r w:rsidRPr="00A97295">
        <w:rPr>
          <w:rFonts w:eastAsia="Calibri"/>
          <w:sz w:val="22"/>
          <w:szCs w:val="22"/>
        </w:rPr>
        <w:t xml:space="preserve">nd] </w:t>
      </w:r>
    </w:p>
    <w:p w:rsidR="00A97295" w:rsidRDefault="00A97295" w:rsidP="00A97295">
      <w:pPr>
        <w:ind w:left="1440"/>
        <w:rPr>
          <w:rFonts w:eastAsia="Calibri"/>
          <w:sz w:val="22"/>
          <w:szCs w:val="22"/>
        </w:rPr>
      </w:pPr>
    </w:p>
    <w:p w:rsidR="00A97295" w:rsidRDefault="001B288C" w:rsidP="00A97295">
      <w:pPr>
        <w:ind w:left="1440"/>
        <w:rPr>
          <w:rFonts w:eastAsia="Calibri"/>
          <w:sz w:val="22"/>
          <w:szCs w:val="22"/>
        </w:rPr>
      </w:pPr>
      <w:r w:rsidRPr="00A97295">
        <w:rPr>
          <w:rFonts w:eastAsia="Calibri"/>
          <w:sz w:val="22"/>
          <w:szCs w:val="22"/>
        </w:rPr>
        <w:t>(2) With respect to [§ 252.84 of the FRB Rules, or § 382.4 of the FDIC Rules, or § 47.5 of the OCC Rules, as applicable], does not include any right under a contract that allows a party to terminate the contract on demand or at its option at a specif</w:t>
      </w:r>
      <w:r w:rsidRPr="00A97295">
        <w:rPr>
          <w:rFonts w:eastAsia="Calibri"/>
          <w:sz w:val="22"/>
          <w:szCs w:val="22"/>
        </w:rPr>
        <w:t>ied time, or from time to time, without the need to show cause.” (Emphasis added.)</w:t>
      </w:r>
    </w:p>
    <w:p w:rsidR="00A97295" w:rsidRDefault="00A97295" w:rsidP="00A97295">
      <w:pPr>
        <w:ind w:left="1440"/>
        <w:rPr>
          <w:rFonts w:eastAsia="Calibri"/>
          <w:sz w:val="22"/>
          <w:szCs w:val="22"/>
        </w:rPr>
      </w:pPr>
    </w:p>
    <w:p w:rsidR="00E9752F" w:rsidRDefault="001B288C" w:rsidP="00A12C80">
      <w:pPr>
        <w:ind w:left="1440"/>
        <w:rPr>
          <w:rFonts w:eastAsia="Calibri"/>
          <w:sz w:val="22"/>
          <w:szCs w:val="22"/>
        </w:rPr>
      </w:pPr>
      <w:r>
        <w:rPr>
          <w:rFonts w:eastAsia="Calibri"/>
          <w:sz w:val="22"/>
          <w:szCs w:val="22"/>
        </w:rPr>
        <w:t>“</w:t>
      </w:r>
      <w:r w:rsidRPr="00E9752F">
        <w:rPr>
          <w:rFonts w:eastAsia="Calibri"/>
          <w:b/>
          <w:sz w:val="22"/>
          <w:szCs w:val="22"/>
        </w:rPr>
        <w:t>Direct Party</w:t>
      </w:r>
      <w:r>
        <w:rPr>
          <w:rFonts w:eastAsia="Calibri"/>
          <w:sz w:val="22"/>
          <w:szCs w:val="22"/>
        </w:rPr>
        <w:t xml:space="preserve">” means a </w:t>
      </w:r>
      <w:r w:rsidR="00D34785">
        <w:rPr>
          <w:rFonts w:eastAsia="Calibri"/>
          <w:sz w:val="22"/>
          <w:szCs w:val="22"/>
        </w:rPr>
        <w:t xml:space="preserve">Covered Entity </w:t>
      </w:r>
      <w:r>
        <w:rPr>
          <w:rFonts w:eastAsia="Calibri"/>
          <w:sz w:val="22"/>
          <w:szCs w:val="22"/>
        </w:rPr>
        <w:t>that is a party to a Direct QFC.</w:t>
      </w:r>
    </w:p>
    <w:p w:rsidR="00594998" w:rsidRPr="00D34C3D" w:rsidRDefault="00594998" w:rsidP="00A12C80">
      <w:pPr>
        <w:ind w:left="1440"/>
        <w:rPr>
          <w:rFonts w:eastAsia="Calibri"/>
          <w:sz w:val="22"/>
          <w:szCs w:val="22"/>
        </w:rPr>
      </w:pPr>
    </w:p>
    <w:p w:rsidR="00594998" w:rsidRDefault="001B288C" w:rsidP="00A12C80">
      <w:pPr>
        <w:ind w:left="1440"/>
        <w:rPr>
          <w:rFonts w:eastAsia="Calibri"/>
          <w:sz w:val="22"/>
          <w:szCs w:val="22"/>
        </w:rPr>
      </w:pPr>
      <w:r>
        <w:rPr>
          <w:rFonts w:eastAsia="Calibri"/>
          <w:sz w:val="22"/>
          <w:szCs w:val="22"/>
        </w:rPr>
        <w:t>“</w:t>
      </w:r>
      <w:r w:rsidRPr="00AA0B40">
        <w:rPr>
          <w:rFonts w:eastAsia="Calibri"/>
          <w:b/>
          <w:sz w:val="22"/>
          <w:szCs w:val="22"/>
        </w:rPr>
        <w:t>Direct QFC</w:t>
      </w:r>
      <w:r>
        <w:rPr>
          <w:rFonts w:eastAsia="Calibri"/>
          <w:sz w:val="22"/>
          <w:szCs w:val="22"/>
        </w:rPr>
        <w:t>” means a QFC that is not a credit enhancement, provided, that, for a QFC that is a ma</w:t>
      </w:r>
      <w:r w:rsidR="00955CCA">
        <w:rPr>
          <w:rFonts w:eastAsia="Calibri"/>
          <w:sz w:val="22"/>
          <w:szCs w:val="22"/>
        </w:rPr>
        <w:t>ster agreement that includes a Covered Affiliate Credit E</w:t>
      </w:r>
      <w:r>
        <w:rPr>
          <w:rFonts w:eastAsia="Calibri"/>
          <w:sz w:val="22"/>
          <w:szCs w:val="22"/>
        </w:rPr>
        <w:t>nhancement as a supplement to the master agreement, the Direct QFC</w:t>
      </w:r>
      <w:r w:rsidR="00E9752F">
        <w:rPr>
          <w:rFonts w:eastAsia="Calibri"/>
          <w:sz w:val="22"/>
          <w:szCs w:val="22"/>
        </w:rPr>
        <w:t xml:space="preserve"> does not include the </w:t>
      </w:r>
      <w:r w:rsidR="00955CCA">
        <w:rPr>
          <w:rFonts w:eastAsia="Calibri"/>
          <w:sz w:val="22"/>
          <w:szCs w:val="22"/>
        </w:rPr>
        <w:t xml:space="preserve">Covered </w:t>
      </w:r>
      <w:r w:rsidR="00E9752F">
        <w:rPr>
          <w:rFonts w:eastAsia="Calibri"/>
          <w:sz w:val="22"/>
          <w:szCs w:val="22"/>
        </w:rPr>
        <w:t>Affiliate Credit E</w:t>
      </w:r>
      <w:r>
        <w:rPr>
          <w:rFonts w:eastAsia="Calibri"/>
          <w:sz w:val="22"/>
          <w:szCs w:val="22"/>
        </w:rPr>
        <w:t>nhancement.</w:t>
      </w:r>
    </w:p>
    <w:p w:rsidR="00594998" w:rsidRDefault="00594998" w:rsidP="00A12C80">
      <w:pPr>
        <w:ind w:left="1440"/>
        <w:rPr>
          <w:rFonts w:eastAsia="Calibri"/>
          <w:sz w:val="22"/>
          <w:szCs w:val="22"/>
        </w:rPr>
      </w:pPr>
    </w:p>
    <w:p w:rsidR="008F7CD4" w:rsidRDefault="001B288C" w:rsidP="00A12C80">
      <w:pPr>
        <w:ind w:left="1440"/>
        <w:rPr>
          <w:rFonts w:eastAsia="Calibri"/>
          <w:sz w:val="22"/>
          <w:szCs w:val="22"/>
        </w:rPr>
      </w:pPr>
      <w:r w:rsidRPr="00AF1FEF">
        <w:rPr>
          <w:rFonts w:eastAsia="Calibri"/>
          <w:sz w:val="22"/>
          <w:szCs w:val="22"/>
        </w:rPr>
        <w:lastRenderedPageBreak/>
        <w:t>“</w:t>
      </w:r>
      <w:r w:rsidRPr="00D34C3D">
        <w:rPr>
          <w:rFonts w:eastAsia="Calibri"/>
          <w:b/>
          <w:sz w:val="22"/>
          <w:szCs w:val="22"/>
        </w:rPr>
        <w:t>FDI Act Stay Period</w:t>
      </w:r>
      <w:r w:rsidRPr="00AF1FEF">
        <w:rPr>
          <w:rFonts w:eastAsia="Calibri"/>
          <w:sz w:val="22"/>
          <w:szCs w:val="22"/>
        </w:rPr>
        <w:t>” means, in connection with an FDI Act proceeding, t</w:t>
      </w:r>
      <w:r w:rsidRPr="00AF1FEF">
        <w:rPr>
          <w:rFonts w:eastAsia="Calibri"/>
          <w:sz w:val="22"/>
          <w:szCs w:val="22"/>
        </w:rPr>
        <w:t>he period of time during which a party to a QFC with a party that is subject to an FDI Act proceeding may not exercise any right that the party that is not subject to an FDI Act proceeding has to terminate, liquidate, or net such QFC, in accordance with se</w:t>
      </w:r>
      <w:r w:rsidRPr="00AF1FEF">
        <w:rPr>
          <w:rFonts w:eastAsia="Calibri"/>
          <w:sz w:val="22"/>
          <w:szCs w:val="22"/>
        </w:rPr>
        <w:t>ction 11(e) of the Federal Deposit Insurance Act (12 U.S.C. 1821(e)) and any implementing regulations.</w:t>
      </w:r>
    </w:p>
    <w:p w:rsidR="008F7CD4" w:rsidRDefault="008F7CD4" w:rsidP="00A12C80">
      <w:pPr>
        <w:ind w:left="1440"/>
        <w:rPr>
          <w:rFonts w:eastAsia="Calibri"/>
          <w:sz w:val="22"/>
          <w:szCs w:val="22"/>
        </w:rPr>
      </w:pPr>
    </w:p>
    <w:p w:rsidR="008F7CD4" w:rsidRPr="008F7CD4" w:rsidRDefault="001B288C" w:rsidP="00A12C80">
      <w:pPr>
        <w:ind w:left="1440"/>
        <w:rPr>
          <w:rFonts w:eastAsia="Calibri"/>
          <w:sz w:val="22"/>
          <w:szCs w:val="22"/>
        </w:rPr>
      </w:pPr>
      <w:r w:rsidRPr="008F7CD4">
        <w:rPr>
          <w:rFonts w:eastAsia="Calibri"/>
          <w:sz w:val="22"/>
          <w:szCs w:val="22"/>
        </w:rPr>
        <w:t>“</w:t>
      </w:r>
      <w:r w:rsidRPr="008F7CD4">
        <w:rPr>
          <w:rFonts w:eastAsia="Calibri"/>
          <w:b/>
          <w:sz w:val="22"/>
          <w:szCs w:val="22"/>
        </w:rPr>
        <w:t>Insolvency Proceeding</w:t>
      </w:r>
      <w:r w:rsidRPr="008F7CD4">
        <w:rPr>
          <w:rFonts w:eastAsia="Calibri"/>
          <w:sz w:val="22"/>
          <w:szCs w:val="22"/>
        </w:rPr>
        <w:t>” means a receivership, insolvency, liquidation, resolution, or similar proceeding.</w:t>
      </w:r>
    </w:p>
    <w:p w:rsidR="008F7CD4" w:rsidRDefault="008F7CD4" w:rsidP="00A12C80">
      <w:pPr>
        <w:ind w:left="1440"/>
        <w:rPr>
          <w:rFonts w:eastAsia="Calibri"/>
          <w:sz w:val="22"/>
          <w:szCs w:val="22"/>
        </w:rPr>
      </w:pPr>
    </w:p>
    <w:p w:rsidR="003736BE" w:rsidRDefault="001B288C" w:rsidP="00A12C80">
      <w:pPr>
        <w:ind w:left="1440"/>
        <w:rPr>
          <w:rFonts w:eastAsia="Calibri"/>
          <w:sz w:val="22"/>
          <w:szCs w:val="22"/>
        </w:rPr>
      </w:pPr>
      <w:r w:rsidRPr="003736BE">
        <w:rPr>
          <w:rFonts w:eastAsia="Calibri"/>
          <w:sz w:val="22"/>
          <w:szCs w:val="22"/>
        </w:rPr>
        <w:t>“</w:t>
      </w:r>
      <w:r w:rsidRPr="003736BE">
        <w:rPr>
          <w:rFonts w:eastAsia="Calibri"/>
          <w:b/>
          <w:sz w:val="22"/>
          <w:szCs w:val="22"/>
        </w:rPr>
        <w:t>ISDA U.S. Protocol</w:t>
      </w:r>
      <w:r w:rsidRPr="003736BE">
        <w:rPr>
          <w:rFonts w:eastAsia="Calibri"/>
          <w:sz w:val="22"/>
          <w:szCs w:val="22"/>
        </w:rPr>
        <w:t>”</w:t>
      </w:r>
      <w:r>
        <w:rPr>
          <w:rFonts w:eastAsia="Calibri"/>
          <w:sz w:val="22"/>
          <w:szCs w:val="22"/>
        </w:rPr>
        <w:t xml:space="preserve"> means the </w:t>
      </w:r>
      <w:r w:rsidRPr="003736BE">
        <w:rPr>
          <w:rFonts w:eastAsia="Calibri"/>
          <w:sz w:val="22"/>
          <w:szCs w:val="22"/>
        </w:rPr>
        <w:t>ISDA 2018 U.</w:t>
      </w:r>
      <w:r>
        <w:rPr>
          <w:rFonts w:eastAsia="Calibri"/>
          <w:sz w:val="22"/>
          <w:szCs w:val="22"/>
        </w:rPr>
        <w:t xml:space="preserve">S. Resolution Stay Protocol, </w:t>
      </w:r>
      <w:r w:rsidRPr="003736BE">
        <w:rPr>
          <w:rFonts w:eastAsia="Calibri"/>
          <w:sz w:val="22"/>
          <w:szCs w:val="22"/>
        </w:rPr>
        <w:t>published by the International Swaps and Derivatives Associatio</w:t>
      </w:r>
      <w:r>
        <w:rPr>
          <w:rFonts w:eastAsia="Calibri"/>
          <w:sz w:val="22"/>
          <w:szCs w:val="22"/>
        </w:rPr>
        <w:t>n, Inc. as of July 31, 2018.</w:t>
      </w:r>
    </w:p>
    <w:p w:rsidR="002B0DAE" w:rsidRPr="00AF1FEF" w:rsidRDefault="002B0DAE" w:rsidP="002B0DAE">
      <w:pPr>
        <w:ind w:left="1440"/>
        <w:jc w:val="both"/>
        <w:rPr>
          <w:sz w:val="22"/>
          <w:szCs w:val="22"/>
          <w:lang w:eastAsia="zh-CN"/>
        </w:rPr>
      </w:pPr>
    </w:p>
    <w:p w:rsidR="002B0DAE" w:rsidRDefault="001B288C" w:rsidP="002B0DAE">
      <w:pPr>
        <w:ind w:left="1440"/>
        <w:jc w:val="both"/>
        <w:rPr>
          <w:sz w:val="22"/>
          <w:szCs w:val="22"/>
          <w:lang w:eastAsia="zh-CN"/>
        </w:rPr>
      </w:pPr>
      <w:r w:rsidRPr="00AF1FEF">
        <w:rPr>
          <w:sz w:val="22"/>
          <w:szCs w:val="22"/>
          <w:lang w:eastAsia="zh-CN"/>
        </w:rPr>
        <w:t>“</w:t>
      </w:r>
      <w:r>
        <w:rPr>
          <w:b/>
          <w:sz w:val="22"/>
          <w:szCs w:val="22"/>
          <w:lang w:eastAsia="zh-CN"/>
        </w:rPr>
        <w:t>QFC S</w:t>
      </w:r>
      <w:r w:rsidRPr="00D34C3D">
        <w:rPr>
          <w:b/>
          <w:sz w:val="22"/>
          <w:szCs w:val="22"/>
          <w:lang w:eastAsia="zh-CN"/>
        </w:rPr>
        <w:t>tay Period</w:t>
      </w:r>
      <w:r w:rsidRPr="00AF1FEF">
        <w:rPr>
          <w:sz w:val="22"/>
          <w:szCs w:val="22"/>
          <w:lang w:eastAsia="zh-CN"/>
        </w:rPr>
        <w:t xml:space="preserve">” means, with respect to an Insolvency Proceeding, the period of time beginning on the commencement of the Insolvency </w:t>
      </w:r>
      <w:r w:rsidRPr="00AF1FEF">
        <w:rPr>
          <w:sz w:val="22"/>
          <w:szCs w:val="22"/>
          <w:lang w:eastAsia="zh-CN"/>
        </w:rPr>
        <w:t>Proceeding and ending at the later of 5:00 p.m. (eastern time) on the business day following the date of the commencement of the Insolvency Proceeding and 48 hours after the commenceme</w:t>
      </w:r>
      <w:r>
        <w:rPr>
          <w:sz w:val="22"/>
          <w:szCs w:val="22"/>
          <w:lang w:eastAsia="zh-CN"/>
        </w:rPr>
        <w:t>nt of the Insolvency Proceeding.</w:t>
      </w:r>
    </w:p>
    <w:p w:rsidR="003736BE" w:rsidRDefault="003736BE" w:rsidP="00A12C80">
      <w:pPr>
        <w:ind w:left="1440"/>
        <w:rPr>
          <w:rFonts w:eastAsia="Calibri"/>
          <w:sz w:val="22"/>
          <w:szCs w:val="22"/>
        </w:rPr>
      </w:pPr>
    </w:p>
    <w:p w:rsidR="00AF1FEF" w:rsidRPr="008F7CD4" w:rsidRDefault="001B288C" w:rsidP="00A12C80">
      <w:pPr>
        <w:ind w:left="1440"/>
        <w:rPr>
          <w:rFonts w:eastAsia="Calibri"/>
          <w:sz w:val="22"/>
          <w:szCs w:val="22"/>
        </w:rPr>
      </w:pPr>
      <w:r w:rsidRPr="00AF1FEF">
        <w:rPr>
          <w:sz w:val="22"/>
          <w:szCs w:val="22"/>
          <w:lang w:eastAsia="zh-CN"/>
        </w:rPr>
        <w:t>“</w:t>
      </w:r>
      <w:r w:rsidRPr="00D34C3D">
        <w:rPr>
          <w:b/>
          <w:iCs/>
          <w:sz w:val="22"/>
          <w:szCs w:val="22"/>
          <w:lang w:eastAsia="zh-CN"/>
        </w:rPr>
        <w:t>QFC Stay Rules</w:t>
      </w:r>
      <w:r w:rsidRPr="00AF1FEF">
        <w:rPr>
          <w:sz w:val="22"/>
          <w:szCs w:val="22"/>
          <w:lang w:eastAsia="zh-CN"/>
        </w:rPr>
        <w:t xml:space="preserve">” means </w:t>
      </w:r>
      <w:bookmarkStart w:id="8" w:name="_Hlk19804516"/>
      <w:r w:rsidRPr="00AF1FEF">
        <w:rPr>
          <w:sz w:val="22"/>
          <w:szCs w:val="22"/>
          <w:lang w:eastAsia="zh-CN"/>
        </w:rPr>
        <w:t xml:space="preserve">the regulations codified at 12 C.F.R. </w:t>
      </w:r>
      <w:r w:rsidRPr="00AF1FEF">
        <w:rPr>
          <w:sz w:val="22"/>
          <w:szCs w:val="22"/>
        </w:rPr>
        <w:t xml:space="preserve">252.2, </w:t>
      </w:r>
      <w:r w:rsidRPr="00AF1FEF">
        <w:rPr>
          <w:sz w:val="22"/>
          <w:szCs w:val="22"/>
          <w:lang w:eastAsia="zh-CN"/>
        </w:rPr>
        <w:t xml:space="preserve">252.81–8, 12 C.F.R. 382.1-7 and 12 C.F.R. 47.1-8, which, subject to limited exceptions, require </w:t>
      </w:r>
      <w:r w:rsidR="00850CBE">
        <w:rPr>
          <w:sz w:val="22"/>
          <w:szCs w:val="22"/>
          <w:lang w:eastAsia="zh-CN"/>
        </w:rPr>
        <w:t xml:space="preserve">(A) </w:t>
      </w:r>
      <w:r w:rsidRPr="00AF1FEF">
        <w:rPr>
          <w:sz w:val="22"/>
          <w:szCs w:val="22"/>
          <w:lang w:eastAsia="zh-CN"/>
        </w:rPr>
        <w:t xml:space="preserve">an express recognition of the stay-and-transfer powers of the FDIC under the Federal Deposit Insurance Act and </w:t>
      </w:r>
      <w:r w:rsidRPr="00AF1FEF">
        <w:rPr>
          <w:sz w:val="22"/>
          <w:szCs w:val="22"/>
          <w:lang w:eastAsia="zh-CN"/>
        </w:rPr>
        <w:t xml:space="preserve">the Orderly Liquidation Authority under Title II of the Dodd Frank Wall Street Reform and Consumer Protection Act and </w:t>
      </w:r>
      <w:r w:rsidR="00850CBE">
        <w:rPr>
          <w:sz w:val="22"/>
          <w:szCs w:val="22"/>
          <w:lang w:eastAsia="zh-CN"/>
        </w:rPr>
        <w:t xml:space="preserve">(B) </w:t>
      </w:r>
      <w:r w:rsidRPr="00AF1FEF">
        <w:rPr>
          <w:sz w:val="22"/>
          <w:szCs w:val="22"/>
          <w:lang w:eastAsia="zh-CN"/>
        </w:rPr>
        <w:t>the override of default rights related directly or indirectly to the entry of an affiliate into certain insolvency proceedings and any</w:t>
      </w:r>
      <w:r w:rsidRPr="00AF1FEF">
        <w:rPr>
          <w:sz w:val="22"/>
          <w:szCs w:val="22"/>
          <w:lang w:eastAsia="zh-CN"/>
        </w:rPr>
        <w:t xml:space="preserve"> restr</w:t>
      </w:r>
      <w:r w:rsidR="0013538C">
        <w:rPr>
          <w:sz w:val="22"/>
          <w:szCs w:val="22"/>
          <w:lang w:eastAsia="zh-CN"/>
        </w:rPr>
        <w:t>ictions on the transfer of any covered affiliate c</w:t>
      </w:r>
      <w:r w:rsidRPr="00AF1FEF">
        <w:rPr>
          <w:sz w:val="22"/>
          <w:szCs w:val="22"/>
          <w:lang w:eastAsia="zh-CN"/>
        </w:rPr>
        <w:t>redit enhancements.</w:t>
      </w:r>
      <w:r w:rsidR="008F7CD4" w:rsidRPr="008F7CD4">
        <w:rPr>
          <w:sz w:val="22"/>
          <w:szCs w:val="22"/>
          <w:lang w:eastAsia="zh-CN"/>
        </w:rPr>
        <w:t xml:space="preserve">  Collectively, the </w:t>
      </w:r>
      <w:r w:rsidR="008F7CD4" w:rsidRPr="008F7CD4">
        <w:rPr>
          <w:iCs/>
          <w:sz w:val="22"/>
          <w:szCs w:val="22"/>
          <w:lang w:eastAsia="zh-CN"/>
        </w:rPr>
        <w:t>QFC Stay Rules</w:t>
      </w:r>
      <w:r w:rsidR="008F7CD4" w:rsidRPr="008F7CD4">
        <w:rPr>
          <w:sz w:val="22"/>
          <w:szCs w:val="22"/>
          <w:lang w:eastAsia="zh-CN"/>
        </w:rPr>
        <w:t xml:space="preserve"> issued by the U</w:t>
      </w:r>
      <w:r w:rsidR="00C2308C">
        <w:rPr>
          <w:sz w:val="22"/>
          <w:szCs w:val="22"/>
          <w:lang w:eastAsia="zh-CN"/>
        </w:rPr>
        <w:t>.</w:t>
      </w:r>
      <w:r w:rsidR="008F7CD4" w:rsidRPr="008F7CD4">
        <w:rPr>
          <w:sz w:val="22"/>
          <w:szCs w:val="22"/>
          <w:lang w:eastAsia="zh-CN"/>
        </w:rPr>
        <w:t>S</w:t>
      </w:r>
      <w:r w:rsidR="00C2308C">
        <w:rPr>
          <w:sz w:val="22"/>
          <w:szCs w:val="22"/>
          <w:lang w:eastAsia="zh-CN"/>
        </w:rPr>
        <w:t>.</w:t>
      </w:r>
      <w:r w:rsidR="008F7CD4" w:rsidRPr="008F7CD4">
        <w:rPr>
          <w:sz w:val="22"/>
          <w:szCs w:val="22"/>
          <w:lang w:eastAsia="zh-CN"/>
        </w:rPr>
        <w:t xml:space="preserve"> Bank Regulators comprise: (i) with respect to a </w:t>
      </w:r>
      <w:r w:rsidR="00AB4C3A">
        <w:rPr>
          <w:sz w:val="22"/>
          <w:szCs w:val="22"/>
          <w:lang w:eastAsia="zh-CN"/>
        </w:rPr>
        <w:t>“c</w:t>
      </w:r>
      <w:r w:rsidR="008F7CD4" w:rsidRPr="008F7CD4">
        <w:rPr>
          <w:sz w:val="22"/>
          <w:szCs w:val="22"/>
          <w:lang w:eastAsia="zh-CN"/>
        </w:rPr>
        <w:t xml:space="preserve">overed </w:t>
      </w:r>
      <w:r w:rsidR="00AB4C3A">
        <w:rPr>
          <w:sz w:val="22"/>
          <w:szCs w:val="22"/>
          <w:lang w:eastAsia="zh-CN"/>
        </w:rPr>
        <w:t>e</w:t>
      </w:r>
      <w:r w:rsidR="008F7CD4" w:rsidRPr="008F7CD4">
        <w:rPr>
          <w:sz w:val="22"/>
          <w:szCs w:val="22"/>
          <w:lang w:eastAsia="zh-CN"/>
        </w:rPr>
        <w:t>ntity</w:t>
      </w:r>
      <w:r w:rsidR="00AB4C3A">
        <w:rPr>
          <w:sz w:val="22"/>
          <w:szCs w:val="22"/>
          <w:lang w:eastAsia="zh-CN"/>
        </w:rPr>
        <w:t>”</w:t>
      </w:r>
      <w:r w:rsidR="008F7CD4" w:rsidRPr="008F7CD4">
        <w:rPr>
          <w:sz w:val="22"/>
          <w:szCs w:val="22"/>
          <w:lang w:eastAsia="zh-CN"/>
        </w:rPr>
        <w:t xml:space="preserve"> described in 12 C.F.R. 252.82(b) (i.e., a Covered Entity that is subject to regulation by the FRB), the regulations that are codified at 12 C.F.R. 252.2, 252.81 – 252.88 (the “</w:t>
      </w:r>
      <w:r w:rsidR="008F7CD4" w:rsidRPr="008F7CD4">
        <w:rPr>
          <w:b/>
          <w:bCs/>
          <w:sz w:val="22"/>
          <w:szCs w:val="22"/>
          <w:lang w:eastAsia="zh-CN"/>
        </w:rPr>
        <w:t>FRB Rules</w:t>
      </w:r>
      <w:r w:rsidR="008F7CD4" w:rsidRPr="008F7CD4">
        <w:rPr>
          <w:sz w:val="22"/>
          <w:szCs w:val="22"/>
          <w:lang w:eastAsia="zh-CN"/>
        </w:rPr>
        <w:t xml:space="preserve">”); (ii) with respect to </w:t>
      </w:r>
      <w:bookmarkStart w:id="9" w:name="_Hlk11181406"/>
      <w:r w:rsidR="008F7CD4" w:rsidRPr="008F7CD4">
        <w:rPr>
          <w:sz w:val="22"/>
          <w:szCs w:val="22"/>
          <w:lang w:eastAsia="zh-CN"/>
        </w:rPr>
        <w:t xml:space="preserve">a </w:t>
      </w:r>
      <w:r w:rsidR="003F7874">
        <w:rPr>
          <w:sz w:val="22"/>
          <w:szCs w:val="22"/>
          <w:lang w:eastAsia="zh-CN"/>
        </w:rPr>
        <w:t>“c</w:t>
      </w:r>
      <w:r w:rsidR="008F7CD4" w:rsidRPr="008F7CD4">
        <w:rPr>
          <w:sz w:val="22"/>
          <w:szCs w:val="22"/>
          <w:lang w:eastAsia="zh-CN"/>
        </w:rPr>
        <w:t xml:space="preserve">overed </w:t>
      </w:r>
      <w:r w:rsidR="003F7874">
        <w:rPr>
          <w:sz w:val="22"/>
          <w:szCs w:val="22"/>
          <w:lang w:eastAsia="zh-CN"/>
        </w:rPr>
        <w:t>FSI”</w:t>
      </w:r>
      <w:r w:rsidR="008F7CD4" w:rsidRPr="008F7CD4">
        <w:rPr>
          <w:sz w:val="22"/>
          <w:szCs w:val="22"/>
          <w:lang w:eastAsia="zh-CN"/>
        </w:rPr>
        <w:t xml:space="preserve"> described in 12 C.F.R. 382.2(b) </w:t>
      </w:r>
      <w:bookmarkEnd w:id="9"/>
      <w:r w:rsidR="008F7CD4" w:rsidRPr="008F7CD4">
        <w:rPr>
          <w:sz w:val="22"/>
          <w:szCs w:val="22"/>
          <w:lang w:eastAsia="zh-CN"/>
        </w:rPr>
        <w:t>(i.e., a Covered Entity that is subject to regulation by the FDIC), the regulations that are codified at 12 C.F.R. 382.1 - 382.7 (the “</w:t>
      </w:r>
      <w:r w:rsidR="008F7CD4" w:rsidRPr="008F7CD4">
        <w:rPr>
          <w:b/>
          <w:bCs/>
          <w:sz w:val="22"/>
          <w:szCs w:val="22"/>
          <w:lang w:eastAsia="zh-CN"/>
        </w:rPr>
        <w:t>FDIC Rules</w:t>
      </w:r>
      <w:r w:rsidR="008F7CD4" w:rsidRPr="008F7CD4">
        <w:rPr>
          <w:sz w:val="22"/>
          <w:szCs w:val="22"/>
          <w:lang w:eastAsia="zh-CN"/>
        </w:rPr>
        <w:t xml:space="preserve">”); and (iii) with respect to a </w:t>
      </w:r>
      <w:r w:rsidR="003F7874">
        <w:rPr>
          <w:sz w:val="22"/>
          <w:szCs w:val="22"/>
          <w:lang w:eastAsia="zh-CN"/>
        </w:rPr>
        <w:t>“c</w:t>
      </w:r>
      <w:r w:rsidR="008F7CD4" w:rsidRPr="008F7CD4">
        <w:rPr>
          <w:sz w:val="22"/>
          <w:szCs w:val="22"/>
          <w:lang w:eastAsia="zh-CN"/>
        </w:rPr>
        <w:t xml:space="preserve">overed </w:t>
      </w:r>
      <w:r w:rsidR="003F7874">
        <w:rPr>
          <w:sz w:val="22"/>
          <w:szCs w:val="22"/>
          <w:lang w:eastAsia="zh-CN"/>
        </w:rPr>
        <w:t>bank”</w:t>
      </w:r>
      <w:r w:rsidR="008F7CD4" w:rsidRPr="008F7CD4">
        <w:rPr>
          <w:sz w:val="22"/>
          <w:szCs w:val="22"/>
          <w:lang w:eastAsia="zh-CN"/>
        </w:rPr>
        <w:t xml:space="preserve"> described in 12 C.F.R 47.3(b) (i.e., a Covered Entity that is subject to regulation by the OCC), the regulations that are codified at </w:t>
      </w:r>
      <w:r w:rsidR="008F7CD4" w:rsidRPr="008F7CD4">
        <w:rPr>
          <w:bCs/>
          <w:sz w:val="22"/>
          <w:szCs w:val="22"/>
          <w:lang w:eastAsia="zh-CN"/>
        </w:rPr>
        <w:t>12 C.F.R. 47.1 - 47.8 (the “</w:t>
      </w:r>
      <w:r w:rsidR="008F7CD4" w:rsidRPr="008F7CD4">
        <w:rPr>
          <w:b/>
          <w:sz w:val="22"/>
          <w:szCs w:val="22"/>
          <w:lang w:eastAsia="zh-CN"/>
        </w:rPr>
        <w:t>OCC Rules</w:t>
      </w:r>
      <w:r w:rsidR="008F7CD4" w:rsidRPr="008F7CD4">
        <w:rPr>
          <w:bCs/>
          <w:sz w:val="22"/>
          <w:szCs w:val="22"/>
          <w:lang w:eastAsia="zh-CN"/>
        </w:rPr>
        <w:t>”)</w:t>
      </w:r>
      <w:r w:rsidR="008F7CD4" w:rsidRPr="008F7CD4">
        <w:rPr>
          <w:sz w:val="22"/>
          <w:szCs w:val="22"/>
          <w:lang w:eastAsia="zh-CN"/>
        </w:rPr>
        <w:t>.</w:t>
      </w:r>
      <w:bookmarkEnd w:id="8"/>
    </w:p>
    <w:p w:rsidR="00AF1FEF" w:rsidRDefault="00AF1FEF" w:rsidP="00A12C80">
      <w:pPr>
        <w:ind w:left="1440"/>
        <w:jc w:val="both"/>
        <w:rPr>
          <w:sz w:val="22"/>
          <w:szCs w:val="22"/>
          <w:lang w:eastAsia="zh-CN"/>
        </w:rPr>
      </w:pPr>
    </w:p>
    <w:p w:rsidR="00AA0B40" w:rsidRDefault="001B288C" w:rsidP="00A12C80">
      <w:pPr>
        <w:ind w:left="1440"/>
        <w:jc w:val="both"/>
        <w:rPr>
          <w:sz w:val="22"/>
          <w:szCs w:val="22"/>
          <w:lang w:eastAsia="zh-CN"/>
        </w:rPr>
      </w:pPr>
      <w:r>
        <w:rPr>
          <w:sz w:val="22"/>
          <w:szCs w:val="22"/>
          <w:lang w:eastAsia="zh-CN"/>
        </w:rPr>
        <w:t>“</w:t>
      </w:r>
      <w:r w:rsidRPr="00AA0B40">
        <w:rPr>
          <w:b/>
          <w:sz w:val="22"/>
          <w:szCs w:val="22"/>
          <w:lang w:eastAsia="zh-CN"/>
        </w:rPr>
        <w:t>Qualified Financial Contract</w:t>
      </w:r>
      <w:r w:rsidR="003E293E" w:rsidRPr="006B19E5">
        <w:rPr>
          <w:sz w:val="22"/>
          <w:szCs w:val="22"/>
          <w:lang w:eastAsia="zh-CN"/>
        </w:rPr>
        <w:t>”</w:t>
      </w:r>
      <w:r w:rsidRPr="006B19E5">
        <w:rPr>
          <w:sz w:val="22"/>
          <w:szCs w:val="22"/>
          <w:lang w:eastAsia="zh-CN"/>
        </w:rPr>
        <w:t xml:space="preserve"> </w:t>
      </w:r>
      <w:r w:rsidR="00E14469" w:rsidRPr="006B19E5">
        <w:rPr>
          <w:sz w:val="22"/>
          <w:szCs w:val="22"/>
          <w:lang w:eastAsia="zh-CN"/>
        </w:rPr>
        <w:t xml:space="preserve">or </w:t>
      </w:r>
      <w:r w:rsidR="003E293E" w:rsidRPr="006B19E5">
        <w:rPr>
          <w:sz w:val="22"/>
          <w:szCs w:val="22"/>
          <w:lang w:eastAsia="zh-CN"/>
        </w:rPr>
        <w:t>“</w:t>
      </w:r>
      <w:r w:rsidRPr="00AA0B40">
        <w:rPr>
          <w:b/>
          <w:sz w:val="22"/>
          <w:szCs w:val="22"/>
          <w:lang w:eastAsia="zh-CN"/>
        </w:rPr>
        <w:t>QFC</w:t>
      </w:r>
      <w:r>
        <w:rPr>
          <w:sz w:val="22"/>
          <w:szCs w:val="22"/>
          <w:lang w:eastAsia="zh-CN"/>
        </w:rPr>
        <w:t xml:space="preserve">” has the same meaning as in section 210(c)(8)(D) of Title II of the Dodd-Frank Wall Street Reform and </w:t>
      </w:r>
      <w:r>
        <w:rPr>
          <w:sz w:val="22"/>
          <w:szCs w:val="22"/>
          <w:lang w:eastAsia="zh-CN"/>
        </w:rPr>
        <w:t>Consumer Protection Act (12 U.S.C. 5390(c)(8)(D)).</w:t>
      </w:r>
    </w:p>
    <w:p w:rsidR="00BE3B8A" w:rsidRPr="00AF1FEF" w:rsidRDefault="00BE3B8A" w:rsidP="00A12C80">
      <w:pPr>
        <w:ind w:left="1440"/>
        <w:jc w:val="both"/>
        <w:rPr>
          <w:sz w:val="22"/>
          <w:szCs w:val="22"/>
          <w:lang w:eastAsia="zh-CN"/>
        </w:rPr>
      </w:pPr>
    </w:p>
    <w:p w:rsidR="00E9752F" w:rsidRPr="00E9752F" w:rsidRDefault="001B288C" w:rsidP="00A12C80">
      <w:pPr>
        <w:ind w:left="1440"/>
        <w:jc w:val="both"/>
        <w:rPr>
          <w:sz w:val="22"/>
          <w:szCs w:val="22"/>
          <w:lang w:eastAsia="zh-CN"/>
        </w:rPr>
      </w:pPr>
      <w:r w:rsidRPr="00E9752F">
        <w:rPr>
          <w:sz w:val="22"/>
          <w:szCs w:val="22"/>
          <w:lang w:eastAsia="zh-CN"/>
        </w:rPr>
        <w:t>“</w:t>
      </w:r>
      <w:r w:rsidRPr="00E9752F">
        <w:rPr>
          <w:b/>
          <w:sz w:val="22"/>
          <w:szCs w:val="22"/>
          <w:lang w:eastAsia="zh-CN"/>
        </w:rPr>
        <w:t>Supported Party</w:t>
      </w:r>
      <w:r w:rsidRPr="00E9752F">
        <w:rPr>
          <w:sz w:val="22"/>
          <w:szCs w:val="22"/>
          <w:lang w:eastAsia="zh-CN"/>
        </w:rPr>
        <w:t>” means, with respect to a Covered Affiliate Credit Enhancement and the Direct QFC that the Covered Affiliate Credit Enhancement supports, a party that is a beneficiary of the covered affi</w:t>
      </w:r>
      <w:r w:rsidRPr="00E9752F">
        <w:rPr>
          <w:sz w:val="22"/>
          <w:szCs w:val="22"/>
          <w:lang w:eastAsia="zh-CN"/>
        </w:rPr>
        <w:t>liate support provider’s obligation(s) under the Covered Affiliate Credit Enhancement.</w:t>
      </w:r>
    </w:p>
    <w:p w:rsidR="00E9752F" w:rsidRPr="00E9752F" w:rsidRDefault="00E9752F" w:rsidP="00A12C80">
      <w:pPr>
        <w:ind w:left="1440"/>
        <w:jc w:val="both"/>
        <w:rPr>
          <w:sz w:val="22"/>
          <w:szCs w:val="22"/>
          <w:lang w:eastAsia="zh-CN"/>
        </w:rPr>
      </w:pPr>
    </w:p>
    <w:p w:rsidR="008F7CD4" w:rsidRDefault="001B288C" w:rsidP="00A12C80">
      <w:pPr>
        <w:ind w:left="1440"/>
        <w:jc w:val="both"/>
        <w:rPr>
          <w:sz w:val="22"/>
          <w:szCs w:val="22"/>
          <w:lang w:eastAsia="zh-CN"/>
        </w:rPr>
      </w:pPr>
      <w:r w:rsidRPr="00AF1FEF">
        <w:rPr>
          <w:sz w:val="22"/>
          <w:szCs w:val="22"/>
          <w:lang w:eastAsia="zh-CN"/>
        </w:rPr>
        <w:t>“</w:t>
      </w:r>
      <w:r w:rsidRPr="00D34C3D">
        <w:rPr>
          <w:b/>
          <w:sz w:val="22"/>
          <w:szCs w:val="22"/>
          <w:lang w:eastAsia="zh-CN"/>
        </w:rPr>
        <w:t>Transferee</w:t>
      </w:r>
      <w:r w:rsidRPr="00AF1FEF">
        <w:rPr>
          <w:sz w:val="22"/>
          <w:szCs w:val="22"/>
          <w:lang w:eastAsia="zh-CN"/>
        </w:rPr>
        <w:t xml:space="preserve">” means a person to whom </w:t>
      </w:r>
      <w:r w:rsidR="00C2308C">
        <w:rPr>
          <w:sz w:val="22"/>
          <w:szCs w:val="22"/>
          <w:lang w:eastAsia="zh-CN"/>
        </w:rPr>
        <w:t>a guaranty, provided by Party A’s Guarantor,</w:t>
      </w:r>
      <w:r w:rsidRPr="00AF1FEF">
        <w:rPr>
          <w:sz w:val="22"/>
          <w:szCs w:val="22"/>
          <w:lang w:eastAsia="zh-CN"/>
        </w:rPr>
        <w:t xml:space="preserve"> is transferred upon </w:t>
      </w:r>
      <w:r w:rsidR="00C2308C">
        <w:rPr>
          <w:sz w:val="22"/>
          <w:szCs w:val="22"/>
          <w:lang w:eastAsia="zh-CN"/>
        </w:rPr>
        <w:t xml:space="preserve">Party A’s </w:t>
      </w:r>
      <w:r w:rsidR="00D55AFF">
        <w:rPr>
          <w:sz w:val="22"/>
          <w:szCs w:val="22"/>
          <w:lang w:eastAsia="zh-CN"/>
        </w:rPr>
        <w:t>Guarantor</w:t>
      </w:r>
      <w:r w:rsidRPr="00AF1FEF">
        <w:rPr>
          <w:sz w:val="22"/>
          <w:szCs w:val="22"/>
          <w:lang w:eastAsia="zh-CN"/>
        </w:rPr>
        <w:t xml:space="preserve"> entering an Insolvency Proceeding or thereafter</w:t>
      </w:r>
      <w:r w:rsidRPr="00AF1FEF">
        <w:rPr>
          <w:sz w:val="22"/>
          <w:szCs w:val="22"/>
          <w:lang w:eastAsia="zh-CN"/>
        </w:rPr>
        <w:t xml:space="preserve"> as part of the resolution, restructuring, or reorganization i</w:t>
      </w:r>
      <w:r w:rsidR="00C2308C">
        <w:rPr>
          <w:sz w:val="22"/>
          <w:szCs w:val="22"/>
          <w:lang w:eastAsia="zh-CN"/>
        </w:rPr>
        <w:t>nvolving Party A’s Guarantor</w:t>
      </w:r>
      <w:r>
        <w:rPr>
          <w:sz w:val="22"/>
          <w:szCs w:val="22"/>
          <w:lang w:eastAsia="zh-CN"/>
        </w:rPr>
        <w:t>.</w:t>
      </w:r>
    </w:p>
    <w:p w:rsidR="008F7CD4" w:rsidRDefault="008F7CD4" w:rsidP="00A12C80">
      <w:pPr>
        <w:ind w:left="1440"/>
        <w:jc w:val="both"/>
        <w:rPr>
          <w:sz w:val="22"/>
          <w:szCs w:val="22"/>
          <w:lang w:eastAsia="zh-CN"/>
        </w:rPr>
      </w:pPr>
    </w:p>
    <w:p w:rsidR="00736D02" w:rsidRDefault="001B288C" w:rsidP="00A12C80">
      <w:pPr>
        <w:ind w:left="1440"/>
        <w:jc w:val="both"/>
        <w:rPr>
          <w:sz w:val="22"/>
          <w:szCs w:val="22"/>
          <w:lang w:eastAsia="zh-CN"/>
        </w:rPr>
      </w:pPr>
      <w:bookmarkStart w:id="10" w:name="_Hlk13036680"/>
      <w:r w:rsidRPr="008F7CD4">
        <w:rPr>
          <w:sz w:val="22"/>
          <w:szCs w:val="22"/>
          <w:lang w:eastAsia="zh-CN"/>
        </w:rPr>
        <w:t>“</w:t>
      </w:r>
      <w:r w:rsidRPr="008F7CD4">
        <w:rPr>
          <w:b/>
          <w:sz w:val="22"/>
          <w:szCs w:val="22"/>
          <w:lang w:eastAsia="zh-CN"/>
        </w:rPr>
        <w:t>U.S. Bank Regulators</w:t>
      </w:r>
      <w:r w:rsidRPr="008F7CD4">
        <w:rPr>
          <w:sz w:val="22"/>
          <w:szCs w:val="22"/>
          <w:lang w:eastAsia="zh-CN"/>
        </w:rPr>
        <w:t>” refers to the Federal Deposit Insurance Corporation (“</w:t>
      </w:r>
      <w:r w:rsidRPr="008F7CD4">
        <w:rPr>
          <w:b/>
          <w:sz w:val="22"/>
          <w:szCs w:val="22"/>
          <w:lang w:eastAsia="zh-CN"/>
        </w:rPr>
        <w:t>FDIC</w:t>
      </w:r>
      <w:r w:rsidRPr="008F7CD4">
        <w:rPr>
          <w:sz w:val="22"/>
          <w:szCs w:val="22"/>
          <w:lang w:eastAsia="zh-CN"/>
        </w:rPr>
        <w:t>”), the Office of the Comptroller of the Currency (“</w:t>
      </w:r>
      <w:r w:rsidRPr="008F7CD4">
        <w:rPr>
          <w:b/>
          <w:sz w:val="22"/>
          <w:szCs w:val="22"/>
          <w:lang w:eastAsia="zh-CN"/>
        </w:rPr>
        <w:t>OCC</w:t>
      </w:r>
      <w:r w:rsidRPr="008F7CD4">
        <w:rPr>
          <w:sz w:val="22"/>
          <w:szCs w:val="22"/>
          <w:lang w:eastAsia="zh-CN"/>
        </w:rPr>
        <w:t>”) and the Board</w:t>
      </w:r>
      <w:r w:rsidR="0016028A">
        <w:rPr>
          <w:sz w:val="22"/>
          <w:szCs w:val="22"/>
          <w:lang w:eastAsia="zh-CN"/>
        </w:rPr>
        <w:t xml:space="preserve"> of Governors of the </w:t>
      </w:r>
      <w:r w:rsidRPr="008F7CD4">
        <w:rPr>
          <w:sz w:val="22"/>
          <w:szCs w:val="22"/>
          <w:lang w:eastAsia="zh-CN"/>
        </w:rPr>
        <w:t xml:space="preserve">Federal Reserve </w:t>
      </w:r>
      <w:r w:rsidR="0016028A">
        <w:rPr>
          <w:sz w:val="22"/>
          <w:szCs w:val="22"/>
          <w:lang w:eastAsia="zh-CN"/>
        </w:rPr>
        <w:t xml:space="preserve">System </w:t>
      </w:r>
      <w:r w:rsidRPr="008F7CD4">
        <w:rPr>
          <w:sz w:val="22"/>
          <w:szCs w:val="22"/>
          <w:lang w:eastAsia="zh-CN"/>
        </w:rPr>
        <w:t>(“</w:t>
      </w:r>
      <w:r w:rsidRPr="008F7CD4">
        <w:rPr>
          <w:b/>
          <w:sz w:val="22"/>
          <w:szCs w:val="22"/>
          <w:lang w:eastAsia="zh-CN"/>
        </w:rPr>
        <w:t>FRB</w:t>
      </w:r>
      <w:r w:rsidRPr="008F7CD4">
        <w:rPr>
          <w:sz w:val="22"/>
          <w:szCs w:val="22"/>
          <w:lang w:eastAsia="zh-CN"/>
        </w:rPr>
        <w:t>”)</w:t>
      </w:r>
      <w:bookmarkEnd w:id="10"/>
      <w:r>
        <w:rPr>
          <w:sz w:val="22"/>
          <w:szCs w:val="22"/>
          <w:lang w:eastAsia="zh-CN"/>
        </w:rPr>
        <w:t>.</w:t>
      </w:r>
    </w:p>
    <w:p w:rsidR="00736D02" w:rsidRDefault="00736D02" w:rsidP="00A12C80">
      <w:pPr>
        <w:ind w:left="1440"/>
        <w:jc w:val="both"/>
        <w:rPr>
          <w:sz w:val="22"/>
          <w:szCs w:val="22"/>
          <w:lang w:eastAsia="zh-CN"/>
        </w:rPr>
      </w:pPr>
    </w:p>
    <w:p w:rsidR="00612205" w:rsidRPr="00D34C3D" w:rsidRDefault="001B288C" w:rsidP="00A12C80">
      <w:pPr>
        <w:ind w:left="1440"/>
        <w:jc w:val="both"/>
        <w:rPr>
          <w:sz w:val="22"/>
          <w:szCs w:val="22"/>
        </w:rPr>
      </w:pPr>
      <w:r w:rsidRPr="00736D02">
        <w:rPr>
          <w:sz w:val="22"/>
          <w:szCs w:val="22"/>
          <w:lang w:eastAsia="zh-CN"/>
        </w:rPr>
        <w:t>“</w:t>
      </w:r>
      <w:r w:rsidRPr="00736D02">
        <w:rPr>
          <w:b/>
          <w:bCs/>
          <w:sz w:val="22"/>
          <w:szCs w:val="22"/>
          <w:lang w:eastAsia="zh-CN"/>
        </w:rPr>
        <w:t>U.S. Special Resolution Regim</w:t>
      </w:r>
      <w:r w:rsidR="00163376">
        <w:rPr>
          <w:b/>
          <w:bCs/>
          <w:sz w:val="22"/>
          <w:szCs w:val="22"/>
          <w:lang w:eastAsia="zh-CN"/>
        </w:rPr>
        <w:t>es</w:t>
      </w:r>
      <w:r w:rsidRPr="00736D02">
        <w:rPr>
          <w:sz w:val="22"/>
          <w:szCs w:val="22"/>
          <w:lang w:eastAsia="zh-CN"/>
        </w:rPr>
        <w:t>”</w:t>
      </w:r>
      <w:r>
        <w:rPr>
          <w:sz w:val="22"/>
          <w:szCs w:val="22"/>
          <w:lang w:eastAsia="zh-CN"/>
        </w:rPr>
        <w:t xml:space="preserve"> means (i) t</w:t>
      </w:r>
      <w:r w:rsidRPr="00736D02">
        <w:rPr>
          <w:sz w:val="22"/>
          <w:szCs w:val="22"/>
          <w:lang w:eastAsia="zh-CN"/>
        </w:rPr>
        <w:t>he Federal Deposit Insurance Act</w:t>
      </w:r>
      <w:r w:rsidR="00163376">
        <w:rPr>
          <w:sz w:val="22"/>
          <w:szCs w:val="22"/>
          <w:lang w:eastAsia="zh-CN"/>
        </w:rPr>
        <w:t xml:space="preserve"> (12 U.S.C. 1811-1835a)</w:t>
      </w:r>
      <w:r w:rsidR="003B7CD3">
        <w:rPr>
          <w:sz w:val="22"/>
          <w:szCs w:val="22"/>
          <w:lang w:eastAsia="zh-CN"/>
        </w:rPr>
        <w:t>,</w:t>
      </w:r>
      <w:r w:rsidRPr="00736D02">
        <w:rPr>
          <w:sz w:val="22"/>
          <w:szCs w:val="22"/>
          <w:lang w:eastAsia="zh-CN"/>
        </w:rPr>
        <w:t xml:space="preserve"> and the regulations promulgated thereunder</w:t>
      </w:r>
      <w:r w:rsidR="003B7CD3">
        <w:rPr>
          <w:sz w:val="22"/>
          <w:szCs w:val="22"/>
          <w:lang w:eastAsia="zh-CN"/>
        </w:rPr>
        <w:t>,</w:t>
      </w:r>
      <w:r w:rsidRPr="00736D02">
        <w:rPr>
          <w:sz w:val="22"/>
          <w:szCs w:val="22"/>
          <w:lang w:eastAsia="zh-CN"/>
        </w:rPr>
        <w:t xml:space="preserve"> </w:t>
      </w:r>
      <w:r w:rsidR="00163376">
        <w:rPr>
          <w:sz w:val="22"/>
          <w:szCs w:val="22"/>
          <w:lang w:eastAsia="zh-CN"/>
        </w:rPr>
        <w:t>and</w:t>
      </w:r>
      <w:r w:rsidRPr="00736D02">
        <w:rPr>
          <w:sz w:val="22"/>
          <w:szCs w:val="22"/>
          <w:lang w:eastAsia="zh-CN"/>
        </w:rPr>
        <w:t xml:space="preserve"> (ii) Title II of the Dodd-Frank Wall Street Reform a</w:t>
      </w:r>
      <w:r w:rsidRPr="00736D02">
        <w:rPr>
          <w:sz w:val="22"/>
          <w:szCs w:val="22"/>
          <w:lang w:eastAsia="zh-CN"/>
        </w:rPr>
        <w:t>nd Consumer Protection Act</w:t>
      </w:r>
      <w:r w:rsidR="00163376">
        <w:rPr>
          <w:sz w:val="22"/>
          <w:szCs w:val="22"/>
          <w:lang w:eastAsia="zh-CN"/>
        </w:rPr>
        <w:t xml:space="preserve"> (12 U.S.C. 5381-5394)</w:t>
      </w:r>
      <w:r w:rsidR="003B7CD3">
        <w:rPr>
          <w:sz w:val="22"/>
          <w:szCs w:val="22"/>
          <w:lang w:eastAsia="zh-CN"/>
        </w:rPr>
        <w:t>,</w:t>
      </w:r>
      <w:r w:rsidRPr="00736D02">
        <w:rPr>
          <w:sz w:val="22"/>
          <w:szCs w:val="22"/>
          <w:lang w:eastAsia="zh-CN"/>
        </w:rPr>
        <w:t xml:space="preserve"> and the regu</w:t>
      </w:r>
      <w:r>
        <w:rPr>
          <w:sz w:val="22"/>
          <w:szCs w:val="22"/>
          <w:lang w:eastAsia="zh-CN"/>
        </w:rPr>
        <w:t>lations promulgated thereunder</w:t>
      </w:r>
      <w:r w:rsidR="008F7CD4" w:rsidRPr="008F7CD4">
        <w:rPr>
          <w:sz w:val="22"/>
          <w:szCs w:val="22"/>
          <w:lang w:eastAsia="zh-CN"/>
        </w:rPr>
        <w:t>.</w:t>
      </w:r>
    </w:p>
    <w:p w:rsidR="00EF3777" w:rsidRDefault="00EF3777"/>
    <w:p w:rsidR="00D34C3D" w:rsidRDefault="00D34C3D"/>
    <w:sectPr w:rsidR="00D34C3D" w:rsidSect="002439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B288C">
      <w:r>
        <w:separator/>
      </w:r>
    </w:p>
  </w:endnote>
  <w:endnote w:type="continuationSeparator" w:id="0">
    <w:p w:rsidR="00000000" w:rsidRDefault="001B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FC2" w:rsidRDefault="004F4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85451"/>
      <w:docPartObj>
        <w:docPartGallery w:val="Page Numbers (Bottom of Page)"/>
        <w:docPartUnique/>
      </w:docPartObj>
    </w:sdtPr>
    <w:sdtEndPr>
      <w:rPr>
        <w:noProof/>
      </w:rPr>
    </w:sdtEndPr>
    <w:sdtContent>
      <w:p w:rsidR="00DE4243" w:rsidRDefault="001B288C">
        <w:pPr>
          <w:pStyle w:val="Footer"/>
          <w:jc w:val="center"/>
        </w:pPr>
        <w:r>
          <w:fldChar w:fldCharType="begin"/>
        </w:r>
        <w:r>
          <w:instrText xml:space="preserve"> PAGE   \* MERGEFORMAT </w:instrText>
        </w:r>
        <w:r>
          <w:fldChar w:fldCharType="separate"/>
        </w:r>
        <w:r w:rsidR="005A71FD">
          <w:rPr>
            <w:noProof/>
          </w:rPr>
          <w:t>13</w:t>
        </w:r>
        <w:r>
          <w:rPr>
            <w:noProof/>
          </w:rPr>
          <w:fldChar w:fldCharType="end"/>
        </w:r>
      </w:p>
    </w:sdtContent>
  </w:sdt>
  <w:p w:rsidR="00CB7B45" w:rsidRDefault="00CB7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996" w:rsidRPr="000E6996" w:rsidRDefault="000E6996" w:rsidP="000E6996">
    <w:pPr>
      <w:tabs>
        <w:tab w:val="center" w:pos="4680"/>
        <w:tab w:val="right" w:pos="9360"/>
      </w:tabs>
      <w:rPr>
        <w:sz w:val="24"/>
        <w:szCs w:val="24"/>
      </w:rPr>
    </w:pPr>
  </w:p>
  <w:p w:rsidR="000E6996" w:rsidRPr="000E6996" w:rsidRDefault="001B288C" w:rsidP="000E6996">
    <w:pPr>
      <w:keepNext/>
      <w:numPr>
        <w:ilvl w:val="1"/>
        <w:numId w:val="0"/>
      </w:numPr>
      <w:pBdr>
        <w:top w:val="single" w:sz="4" w:space="1" w:color="auto"/>
      </w:pBdr>
      <w:spacing w:after="240"/>
      <w:jc w:val="center"/>
      <w:rPr>
        <w:iCs/>
        <w:lang w:bidi="en-US"/>
      </w:rPr>
    </w:pPr>
    <w:r w:rsidRPr="000E6996">
      <w:rPr>
        <w:iCs/>
        <w:lang w:bidi="en-US"/>
      </w:rPr>
      <w:t>©2019 by the International Energy Credit Association</w:t>
    </w:r>
  </w:p>
  <w:p w:rsidR="000E6996" w:rsidRPr="000E6996" w:rsidRDefault="001B288C" w:rsidP="000E6996">
    <w:pPr>
      <w:spacing w:after="240"/>
      <w:jc w:val="both"/>
      <w:rPr>
        <w:b/>
        <w:lang w:bidi="en-US"/>
      </w:rPr>
    </w:pPr>
    <w:r w:rsidRPr="000E6996">
      <w:rPr>
        <w:b/>
        <w:lang w:bidi="en-US"/>
      </w:rPr>
      <w:t xml:space="preserve">ALL RIGHTS RESERVED UNDER U.S. AND FOREIGN LAW, TREATIES AND CONVENTIONS.  </w:t>
    </w:r>
    <w:r w:rsidRPr="000E6996">
      <w:rPr>
        <w:rFonts w:ascii="Times New Roman Bold" w:hAnsi="Times New Roman Bold"/>
        <w:b/>
        <w:caps/>
        <w:lang w:bidi="en-US"/>
      </w:rPr>
      <w:t>ISDA® is a registered mark of the International Swaps and Derivatives Association, Inc., NAESB</w:t>
    </w:r>
    <w:r w:rsidRPr="000E6996">
      <w:rPr>
        <w:rFonts w:ascii="Times New Roman Bold" w:hAnsi="Times New Roman Bold"/>
        <w:b/>
        <w:caps/>
        <w:lang w:bidi="en-US"/>
      </w:rPr>
      <w:t>® is a registered mark of the north american energy standards board, Inc., and EEi® is a registered mark of the edison electric institute.</w:t>
    </w:r>
    <w:r w:rsidRPr="000E6996">
      <w:rPr>
        <w:b/>
        <w:lang w:bidi="en-US"/>
      </w:rPr>
      <w:t xml:space="preserve">  AUTOMATIC LICENSE –</w:t>
    </w:r>
    <w:r w:rsidRPr="000E6996">
      <w:rPr>
        <w:lang w:bidi="en-US"/>
      </w:rPr>
      <w:t xml:space="preserve"> </w:t>
    </w:r>
    <w:r w:rsidRPr="000E6996">
      <w:rPr>
        <w:b/>
        <w:lang w:bidi="en-US"/>
      </w:rPr>
      <w:t>PERMISSION OF THE COPYRIGHT OWNER IS GRANTED FOR REPRODUCTION BY DOWNLOADING FROM A COMPUTER AND</w:t>
    </w:r>
    <w:r w:rsidRPr="000E6996">
      <w:rPr>
        <w:b/>
        <w:lang w:bidi="en-US"/>
      </w:rPr>
      <w:t xml:space="preserve"> PRINTING ELECTRONIC COPIES OF THE WORK.  NO AUTHORIZED COPY MAY BE SOLD.  WHEN USED AS A REFERENCE, ATTRIBUTION TO THE COPYRIGHT OWNER IS REQUESTED.  </w:t>
    </w:r>
    <w:r w:rsidRPr="000E6996">
      <w:rPr>
        <w:rFonts w:ascii="Times New Roman Bold" w:hAnsi="Times New Roman Bold"/>
        <w:b/>
        <w:caps/>
        <w:lang w:bidi="en-US"/>
      </w:rPr>
      <w:t>By making this available, the IECA does not offer legal advice, and all users are urged to consult with t</w:t>
    </w:r>
    <w:r w:rsidRPr="000E6996">
      <w:rPr>
        <w:rFonts w:ascii="Times New Roman Bold" w:hAnsi="Times New Roman Bold"/>
        <w:b/>
        <w:caps/>
        <w:lang w:bidi="en-US"/>
      </w:rPr>
      <w:t>heir own legal counsel to ensure that their commercial objectives will be achieved and legal interests protected.  This document may be periodically reviewed and revised after publication in response to market developments and comments received.  The foreg</w:t>
    </w:r>
    <w:r w:rsidRPr="000E6996">
      <w:rPr>
        <w:rFonts w:ascii="Times New Roman Bold" w:hAnsi="Times New Roman Bold"/>
        <w:b/>
        <w:caps/>
        <w:lang w:bidi="en-US"/>
      </w:rPr>
      <w:t>oing should not be construed as a warranty or assurance that further revisions will be forthcoming, or of the timeliness or comprehensiveness of such revisions. No claim is made to material copyrighted by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D3D" w:rsidRDefault="001B288C" w:rsidP="00606F59">
      <w:r>
        <w:separator/>
      </w:r>
    </w:p>
  </w:footnote>
  <w:footnote w:type="continuationSeparator" w:id="0">
    <w:p w:rsidR="00BE7D3D" w:rsidRDefault="001B288C" w:rsidP="00606F59">
      <w:r>
        <w:continuationSeparator/>
      </w:r>
    </w:p>
  </w:footnote>
  <w:footnote w:id="1">
    <w:p w:rsidR="00357687" w:rsidRDefault="001B288C" w:rsidP="00EE629F">
      <w:pPr>
        <w:pStyle w:val="FootnoteText"/>
        <w:jc w:val="both"/>
      </w:pPr>
      <w:r>
        <w:rPr>
          <w:rStyle w:val="FootnoteReference"/>
        </w:rPr>
        <w:footnoteRef/>
      </w:r>
      <w:r>
        <w:t xml:space="preserve">  A</w:t>
      </w:r>
      <w:r w:rsidRPr="00357687">
        <w:t>s specified in Section 252.83(a) of</w:t>
      </w:r>
      <w:r w:rsidRPr="00357687">
        <w:t xml:space="preserve"> the FRB Rules, Section 47.4(a) of the OCC Rules, and Section 382.3(</w:t>
      </w:r>
      <w:r w:rsidR="0025279D">
        <w:t xml:space="preserve">a) of the FDIC Rules, these </w:t>
      </w:r>
      <w:r w:rsidRPr="00357687">
        <w:t>Sections 15.[13].1(a) and (b) are not required for certain in-scope QFCs that: (i) are contracts that are subject to US laws and (ii) are contracts in which eac</w:t>
      </w:r>
      <w:r w:rsidRPr="00357687">
        <w:t>h party that is not a Covered Entity is, essentially, a US Person.</w:t>
      </w:r>
      <w:r>
        <w:t xml:space="preserve"> Nevertheless, for ease of reference elsewhere in this Contract, </w:t>
      </w:r>
      <w:r w:rsidR="008E0556">
        <w:t>Section 15.[13].1 has been included.</w:t>
      </w:r>
    </w:p>
  </w:footnote>
  <w:footnote w:id="2">
    <w:p w:rsidR="005016A9" w:rsidRDefault="001B288C" w:rsidP="005016A9">
      <w:pPr>
        <w:pStyle w:val="FootnoteText"/>
      </w:pPr>
      <w:r>
        <w:rPr>
          <w:rStyle w:val="FootnoteReference"/>
        </w:rPr>
        <w:footnoteRef/>
      </w:r>
      <w:r>
        <w:t xml:space="preserve"> </w:t>
      </w:r>
      <w:r>
        <w:rPr>
          <w:i/>
          <w:iCs/>
        </w:rPr>
        <w:t>See</w:t>
      </w:r>
      <w:r>
        <w:t xml:space="preserve"> 12 C.F.R. 47.5(i); 12 C.F.R. 252.84(i); 12 C.F.R. 382.4(i).</w:t>
      </w:r>
    </w:p>
  </w:footnote>
  <w:footnote w:id="3">
    <w:p w:rsidR="00864CD2" w:rsidRDefault="001B288C" w:rsidP="00864CD2">
      <w:pPr>
        <w:pStyle w:val="FootnoteText"/>
      </w:pPr>
      <w:r>
        <w:rPr>
          <w:rStyle w:val="FootnoteReference"/>
        </w:rPr>
        <w:footnoteRef/>
      </w:r>
      <w:r>
        <w:t xml:space="preserve"> </w:t>
      </w:r>
      <w:r w:rsidRPr="00BC44EC">
        <w:t xml:space="preserve">Sections 252.84(d), </w:t>
      </w:r>
      <w:r w:rsidRPr="00BC44EC">
        <w:t>(f) and (h) of the FRB Rules, Sections 382.4(d), (f), and (h) of the FDIC Rules, and Sections 47.5(d), (f), and (h) of the OCC Rules</w:t>
      </w:r>
      <w:r>
        <w:t xml:space="preserve">, which are the </w:t>
      </w:r>
      <w:r w:rsidR="00E71293">
        <w:t>“</w:t>
      </w:r>
      <w:r w:rsidRPr="00E71293">
        <w:rPr>
          <w:b/>
        </w:rPr>
        <w:t>Creditor Protection Provisions</w:t>
      </w:r>
      <w:r w:rsidR="00E71293">
        <w:t>”</w:t>
      </w:r>
      <w:r>
        <w:t xml:space="preserve"> of the QFC Stay Ru</w:t>
      </w:r>
      <w:r w:rsidR="004E3167">
        <w:t>les, correspond to p</w:t>
      </w:r>
      <w:r w:rsidR="00706F08">
        <w:t>aragraphs (g)(i), (g)(ii) and (g</w:t>
      </w:r>
      <w:r>
        <w:t>)(iii</w:t>
      </w:r>
      <w:r>
        <w:t xml:space="preserve">) of this </w:t>
      </w:r>
      <w:r w:rsidR="005624B2">
        <w:t>Section 15.[13].4</w:t>
      </w:r>
      <w:r>
        <w:t>.</w:t>
      </w:r>
    </w:p>
  </w:footnote>
  <w:footnote w:id="4">
    <w:p w:rsidR="00796418" w:rsidRDefault="001B288C" w:rsidP="00796418">
      <w:pPr>
        <w:pStyle w:val="FootnoteText"/>
      </w:pPr>
      <w:r>
        <w:rPr>
          <w:rStyle w:val="FootnoteReference"/>
        </w:rPr>
        <w:footnoteRef/>
      </w:r>
      <w:r>
        <w:t xml:space="preserve"> </w:t>
      </w:r>
      <w:r w:rsidRPr="009A1BD5">
        <w:rPr>
          <w:b/>
          <w:u w:val="single"/>
        </w:rPr>
        <w:t>IECA NTD</w:t>
      </w:r>
      <w:r>
        <w:t xml:space="preserve">:  For more information, see </w:t>
      </w:r>
      <w:r w:rsidRPr="00A8564D">
        <w:t xml:space="preserve">the </w:t>
      </w:r>
      <w:r w:rsidRPr="00A8564D">
        <w:rPr>
          <w:u w:val="single"/>
        </w:rPr>
        <w:t>QFC User’s Guide</w:t>
      </w:r>
      <w:r>
        <w:rPr>
          <w:u w:val="single"/>
        </w:rPr>
        <w:t xml:space="preserve"> to IECA’s QFC Stay Rule Compliance Documents (“IECA QFC User’s Guide”)</w:t>
      </w:r>
      <w:r w:rsidRPr="00A8564D">
        <w:rPr>
          <w:u w:val="single"/>
        </w:rPr>
        <w:t>, which is</w:t>
      </w:r>
      <w:r>
        <w:rPr>
          <w:u w:val="single"/>
        </w:rPr>
        <w:t xml:space="preserve"> available on the IECA website</w:t>
      </w:r>
      <w:r>
        <w:t xml:space="preserve"> (</w:t>
      </w:r>
      <w:r w:rsidRPr="005404A0">
        <w:t>www.ieca.net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FC2" w:rsidRDefault="004F4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FB" w:rsidRDefault="00DC24FB" w:rsidP="00EA7D30">
    <w:pPr>
      <w:pStyle w:val="Header"/>
      <w:jc w:val="right"/>
    </w:pPr>
  </w:p>
  <w:p w:rsidR="00DC24FB" w:rsidRDefault="00DC24FB" w:rsidP="00EA7D30">
    <w:pPr>
      <w:pStyle w:val="Header"/>
      <w:jc w:val="right"/>
    </w:pPr>
  </w:p>
  <w:p w:rsidR="00CB7B45" w:rsidRDefault="001B288C" w:rsidP="00EA7D30">
    <w:pPr>
      <w:pStyle w:val="Header"/>
      <w:jc w:val="right"/>
    </w:pPr>
    <w:r>
      <w:t xml:space="preserve">(IECA Version </w:t>
    </w:r>
    <w:r w:rsidR="002F596C">
      <w:t>10</w:t>
    </w:r>
    <w:r>
      <w:t>-</w:t>
    </w:r>
    <w:r w:rsidR="009206A5">
      <w:t>21</w:t>
    </w:r>
    <w: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FB" w:rsidRDefault="00DC24FB" w:rsidP="0024395F">
    <w:pPr>
      <w:pStyle w:val="Header"/>
      <w:jc w:val="right"/>
    </w:pPr>
  </w:p>
  <w:p w:rsidR="0024395F" w:rsidRDefault="001B288C" w:rsidP="0024395F">
    <w:pPr>
      <w:pStyle w:val="Header"/>
      <w:jc w:val="right"/>
    </w:pPr>
    <w:r w:rsidRPr="0024395F">
      <w:rPr>
        <w:rFonts w:ascii="Calibri" w:hAnsi="Calibri"/>
        <w:b/>
        <w:caps/>
        <w:noProof/>
        <w:sz w:val="22"/>
        <w:szCs w:val="22"/>
      </w:rPr>
      <w:drawing>
        <wp:inline distT="0" distB="0" distL="0" distR="0">
          <wp:extent cx="1523850" cy="7048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19726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9181" cy="735069"/>
                  </a:xfrm>
                  <a:prstGeom prst="rect">
                    <a:avLst/>
                  </a:prstGeom>
                  <a:noFill/>
                  <a:ln>
                    <a:noFill/>
                  </a:ln>
                </pic:spPr>
              </pic:pic>
            </a:graphicData>
          </a:graphic>
        </wp:inline>
      </w:drawing>
    </w:r>
  </w:p>
  <w:p w:rsidR="0024395F" w:rsidRDefault="0024395F" w:rsidP="0024395F">
    <w:pPr>
      <w:pStyle w:val="Header"/>
      <w:jc w:val="right"/>
    </w:pPr>
  </w:p>
  <w:p w:rsidR="0024395F" w:rsidRDefault="001B288C" w:rsidP="0024395F">
    <w:pPr>
      <w:pStyle w:val="Header"/>
      <w:jc w:val="right"/>
    </w:pPr>
    <w:r>
      <w:t xml:space="preserve">(IECA VERSION </w:t>
    </w:r>
    <w:r>
      <w:t>10-21-2019)</w:t>
    </w:r>
  </w:p>
  <w:p w:rsidR="0024395F" w:rsidRDefault="001B288C" w:rsidP="0024395F">
    <w:pPr>
      <w:pStyle w:val="Header"/>
      <w:jc w:val="right"/>
    </w:pPr>
    <w:r>
      <w:t>(Updated 11-7</w:t>
    </w:r>
    <w:r w:rsidR="00CD2724">
      <w:t>-2019)</w:t>
    </w:r>
  </w:p>
  <w:p w:rsidR="00D56723" w:rsidRDefault="00D56723" w:rsidP="002439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36164"/>
    <w:multiLevelType w:val="hybridMultilevel"/>
    <w:tmpl w:val="C8C00806"/>
    <w:lvl w:ilvl="0" w:tplc="B9FEE608">
      <w:start w:val="1"/>
      <w:numFmt w:val="lowerRoman"/>
      <w:lvlText w:val="(%1)"/>
      <w:lvlJc w:val="left"/>
      <w:pPr>
        <w:ind w:left="1440" w:hanging="720"/>
      </w:pPr>
      <w:rPr>
        <w:rFonts w:hint="default"/>
      </w:rPr>
    </w:lvl>
    <w:lvl w:ilvl="1" w:tplc="816C6F4C" w:tentative="1">
      <w:start w:val="1"/>
      <w:numFmt w:val="lowerLetter"/>
      <w:lvlText w:val="%2."/>
      <w:lvlJc w:val="left"/>
      <w:pPr>
        <w:ind w:left="1800" w:hanging="360"/>
      </w:pPr>
    </w:lvl>
    <w:lvl w:ilvl="2" w:tplc="1E04D448" w:tentative="1">
      <w:start w:val="1"/>
      <w:numFmt w:val="lowerRoman"/>
      <w:lvlText w:val="%3."/>
      <w:lvlJc w:val="right"/>
      <w:pPr>
        <w:ind w:left="2520" w:hanging="180"/>
      </w:pPr>
    </w:lvl>
    <w:lvl w:ilvl="3" w:tplc="8D96313E" w:tentative="1">
      <w:start w:val="1"/>
      <w:numFmt w:val="decimal"/>
      <w:lvlText w:val="%4."/>
      <w:lvlJc w:val="left"/>
      <w:pPr>
        <w:ind w:left="3240" w:hanging="360"/>
      </w:pPr>
    </w:lvl>
    <w:lvl w:ilvl="4" w:tplc="8D5431DC" w:tentative="1">
      <w:start w:val="1"/>
      <w:numFmt w:val="lowerLetter"/>
      <w:lvlText w:val="%5."/>
      <w:lvlJc w:val="left"/>
      <w:pPr>
        <w:ind w:left="3960" w:hanging="360"/>
      </w:pPr>
    </w:lvl>
    <w:lvl w:ilvl="5" w:tplc="45F41A28" w:tentative="1">
      <w:start w:val="1"/>
      <w:numFmt w:val="lowerRoman"/>
      <w:lvlText w:val="%6."/>
      <w:lvlJc w:val="right"/>
      <w:pPr>
        <w:ind w:left="4680" w:hanging="180"/>
      </w:pPr>
    </w:lvl>
    <w:lvl w:ilvl="6" w:tplc="F140BA18" w:tentative="1">
      <w:start w:val="1"/>
      <w:numFmt w:val="decimal"/>
      <w:lvlText w:val="%7."/>
      <w:lvlJc w:val="left"/>
      <w:pPr>
        <w:ind w:left="5400" w:hanging="360"/>
      </w:pPr>
    </w:lvl>
    <w:lvl w:ilvl="7" w:tplc="B56A440E" w:tentative="1">
      <w:start w:val="1"/>
      <w:numFmt w:val="lowerLetter"/>
      <w:lvlText w:val="%8."/>
      <w:lvlJc w:val="left"/>
      <w:pPr>
        <w:ind w:left="6120" w:hanging="360"/>
      </w:pPr>
    </w:lvl>
    <w:lvl w:ilvl="8" w:tplc="212E6E44"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05"/>
    <w:rsid w:val="000172E5"/>
    <w:rsid w:val="00017BF4"/>
    <w:rsid w:val="000334BF"/>
    <w:rsid w:val="00036795"/>
    <w:rsid w:val="000410D4"/>
    <w:rsid w:val="00041116"/>
    <w:rsid w:val="00041742"/>
    <w:rsid w:val="00044138"/>
    <w:rsid w:val="00044D18"/>
    <w:rsid w:val="00054B7E"/>
    <w:rsid w:val="000567A1"/>
    <w:rsid w:val="00071BD4"/>
    <w:rsid w:val="00076EAB"/>
    <w:rsid w:val="00084105"/>
    <w:rsid w:val="00084B78"/>
    <w:rsid w:val="000873CB"/>
    <w:rsid w:val="000903E7"/>
    <w:rsid w:val="00093C30"/>
    <w:rsid w:val="00096CA9"/>
    <w:rsid w:val="00097355"/>
    <w:rsid w:val="000A6416"/>
    <w:rsid w:val="000B2270"/>
    <w:rsid w:val="000C06C3"/>
    <w:rsid w:val="000D50BD"/>
    <w:rsid w:val="000D5217"/>
    <w:rsid w:val="000E6996"/>
    <w:rsid w:val="000E7671"/>
    <w:rsid w:val="000F156A"/>
    <w:rsid w:val="00100745"/>
    <w:rsid w:val="001114FD"/>
    <w:rsid w:val="00124042"/>
    <w:rsid w:val="001275C8"/>
    <w:rsid w:val="00130CE2"/>
    <w:rsid w:val="0013538C"/>
    <w:rsid w:val="0014304C"/>
    <w:rsid w:val="001478BD"/>
    <w:rsid w:val="0015224C"/>
    <w:rsid w:val="0016028A"/>
    <w:rsid w:val="00163376"/>
    <w:rsid w:val="001710CB"/>
    <w:rsid w:val="00177639"/>
    <w:rsid w:val="0018354F"/>
    <w:rsid w:val="00197444"/>
    <w:rsid w:val="001A1ED5"/>
    <w:rsid w:val="001B288C"/>
    <w:rsid w:val="001B4EB7"/>
    <w:rsid w:val="001C2A75"/>
    <w:rsid w:val="001E41AD"/>
    <w:rsid w:val="001E4672"/>
    <w:rsid w:val="001F4779"/>
    <w:rsid w:val="0020674E"/>
    <w:rsid w:val="00233A18"/>
    <w:rsid w:val="0024395F"/>
    <w:rsid w:val="00244420"/>
    <w:rsid w:val="002447F7"/>
    <w:rsid w:val="00250075"/>
    <w:rsid w:val="00252032"/>
    <w:rsid w:val="0025279D"/>
    <w:rsid w:val="002620D2"/>
    <w:rsid w:val="002718EC"/>
    <w:rsid w:val="00272372"/>
    <w:rsid w:val="00275825"/>
    <w:rsid w:val="00285851"/>
    <w:rsid w:val="00292B9D"/>
    <w:rsid w:val="002A2F7D"/>
    <w:rsid w:val="002A35F3"/>
    <w:rsid w:val="002A4D74"/>
    <w:rsid w:val="002B0DAE"/>
    <w:rsid w:val="002B492C"/>
    <w:rsid w:val="002B590A"/>
    <w:rsid w:val="002C2D47"/>
    <w:rsid w:val="002C71FF"/>
    <w:rsid w:val="002E1F1C"/>
    <w:rsid w:val="002E1F76"/>
    <w:rsid w:val="002E4EF4"/>
    <w:rsid w:val="002F02E5"/>
    <w:rsid w:val="002F2A0D"/>
    <w:rsid w:val="002F4E1D"/>
    <w:rsid w:val="002F596C"/>
    <w:rsid w:val="003159B1"/>
    <w:rsid w:val="00315B4B"/>
    <w:rsid w:val="00322898"/>
    <w:rsid w:val="0035296A"/>
    <w:rsid w:val="00357687"/>
    <w:rsid w:val="00361A14"/>
    <w:rsid w:val="00363A4C"/>
    <w:rsid w:val="00367546"/>
    <w:rsid w:val="003702C5"/>
    <w:rsid w:val="00370380"/>
    <w:rsid w:val="0037045E"/>
    <w:rsid w:val="003718E4"/>
    <w:rsid w:val="003736BE"/>
    <w:rsid w:val="00376BC6"/>
    <w:rsid w:val="00382776"/>
    <w:rsid w:val="0039014A"/>
    <w:rsid w:val="003945DC"/>
    <w:rsid w:val="00395259"/>
    <w:rsid w:val="003A0409"/>
    <w:rsid w:val="003A475E"/>
    <w:rsid w:val="003A4E38"/>
    <w:rsid w:val="003B1C5A"/>
    <w:rsid w:val="003B53C7"/>
    <w:rsid w:val="003B580B"/>
    <w:rsid w:val="003B7CD3"/>
    <w:rsid w:val="003C7739"/>
    <w:rsid w:val="003E293E"/>
    <w:rsid w:val="003F38DA"/>
    <w:rsid w:val="003F77E7"/>
    <w:rsid w:val="003F7874"/>
    <w:rsid w:val="00400B6E"/>
    <w:rsid w:val="00415E8F"/>
    <w:rsid w:val="00421266"/>
    <w:rsid w:val="004230D4"/>
    <w:rsid w:val="0042396B"/>
    <w:rsid w:val="004269F1"/>
    <w:rsid w:val="0043625E"/>
    <w:rsid w:val="00437AA2"/>
    <w:rsid w:val="00440CF6"/>
    <w:rsid w:val="00440F94"/>
    <w:rsid w:val="00441107"/>
    <w:rsid w:val="004544F8"/>
    <w:rsid w:val="004858D6"/>
    <w:rsid w:val="004925C8"/>
    <w:rsid w:val="00494834"/>
    <w:rsid w:val="004A334C"/>
    <w:rsid w:val="004A4135"/>
    <w:rsid w:val="004A687A"/>
    <w:rsid w:val="004B0EE3"/>
    <w:rsid w:val="004C01D0"/>
    <w:rsid w:val="004E3167"/>
    <w:rsid w:val="004F4FC2"/>
    <w:rsid w:val="005016A9"/>
    <w:rsid w:val="005030EC"/>
    <w:rsid w:val="00504390"/>
    <w:rsid w:val="00505756"/>
    <w:rsid w:val="00532018"/>
    <w:rsid w:val="005331DB"/>
    <w:rsid w:val="00537F7A"/>
    <w:rsid w:val="005404A0"/>
    <w:rsid w:val="00547332"/>
    <w:rsid w:val="00551A11"/>
    <w:rsid w:val="00555CE7"/>
    <w:rsid w:val="005624B2"/>
    <w:rsid w:val="00563B4F"/>
    <w:rsid w:val="00575C45"/>
    <w:rsid w:val="00584E93"/>
    <w:rsid w:val="00594998"/>
    <w:rsid w:val="00596AB8"/>
    <w:rsid w:val="005A71FD"/>
    <w:rsid w:val="005B1856"/>
    <w:rsid w:val="005B2174"/>
    <w:rsid w:val="005B4F9D"/>
    <w:rsid w:val="005B59FC"/>
    <w:rsid w:val="005C2487"/>
    <w:rsid w:val="005D0D62"/>
    <w:rsid w:val="005D189A"/>
    <w:rsid w:val="005E2E61"/>
    <w:rsid w:val="005F75C1"/>
    <w:rsid w:val="00606F59"/>
    <w:rsid w:val="00607B6D"/>
    <w:rsid w:val="00607EFB"/>
    <w:rsid w:val="00610DF6"/>
    <w:rsid w:val="00612205"/>
    <w:rsid w:val="00616AA4"/>
    <w:rsid w:val="006326FE"/>
    <w:rsid w:val="00647687"/>
    <w:rsid w:val="006508BB"/>
    <w:rsid w:val="00660CCA"/>
    <w:rsid w:val="00663072"/>
    <w:rsid w:val="00663A18"/>
    <w:rsid w:val="00677289"/>
    <w:rsid w:val="006810F7"/>
    <w:rsid w:val="006829E1"/>
    <w:rsid w:val="00690A38"/>
    <w:rsid w:val="00695646"/>
    <w:rsid w:val="006A126D"/>
    <w:rsid w:val="006A2D5D"/>
    <w:rsid w:val="006A5F72"/>
    <w:rsid w:val="006A64E4"/>
    <w:rsid w:val="006A6E05"/>
    <w:rsid w:val="006B19E5"/>
    <w:rsid w:val="006D672F"/>
    <w:rsid w:val="006E66E6"/>
    <w:rsid w:val="006F41AB"/>
    <w:rsid w:val="006F6999"/>
    <w:rsid w:val="00701058"/>
    <w:rsid w:val="00706F08"/>
    <w:rsid w:val="00711448"/>
    <w:rsid w:val="007128C4"/>
    <w:rsid w:val="00713AF5"/>
    <w:rsid w:val="00721A02"/>
    <w:rsid w:val="00731B11"/>
    <w:rsid w:val="00734F3C"/>
    <w:rsid w:val="007351CA"/>
    <w:rsid w:val="00736D02"/>
    <w:rsid w:val="0074287C"/>
    <w:rsid w:val="00753C3B"/>
    <w:rsid w:val="00756618"/>
    <w:rsid w:val="00761B9C"/>
    <w:rsid w:val="00763003"/>
    <w:rsid w:val="00766686"/>
    <w:rsid w:val="00766AB5"/>
    <w:rsid w:val="007701D0"/>
    <w:rsid w:val="00796418"/>
    <w:rsid w:val="007A562A"/>
    <w:rsid w:val="007D39F7"/>
    <w:rsid w:val="007E54A3"/>
    <w:rsid w:val="008002E7"/>
    <w:rsid w:val="00817F9B"/>
    <w:rsid w:val="00820C78"/>
    <w:rsid w:val="008239CC"/>
    <w:rsid w:val="008279C8"/>
    <w:rsid w:val="00831EFD"/>
    <w:rsid w:val="00837342"/>
    <w:rsid w:val="00843C46"/>
    <w:rsid w:val="00850CBE"/>
    <w:rsid w:val="00854C39"/>
    <w:rsid w:val="00864CD2"/>
    <w:rsid w:val="008661E0"/>
    <w:rsid w:val="00874544"/>
    <w:rsid w:val="0088631F"/>
    <w:rsid w:val="008A663B"/>
    <w:rsid w:val="008C0391"/>
    <w:rsid w:val="008C36E2"/>
    <w:rsid w:val="008D289B"/>
    <w:rsid w:val="008D3F92"/>
    <w:rsid w:val="008E0556"/>
    <w:rsid w:val="008E1167"/>
    <w:rsid w:val="008E7EC1"/>
    <w:rsid w:val="008F00EC"/>
    <w:rsid w:val="008F7CD4"/>
    <w:rsid w:val="00900113"/>
    <w:rsid w:val="00900F5A"/>
    <w:rsid w:val="0092021E"/>
    <w:rsid w:val="009206A5"/>
    <w:rsid w:val="00922E10"/>
    <w:rsid w:val="00930F9E"/>
    <w:rsid w:val="00936B7B"/>
    <w:rsid w:val="0094179D"/>
    <w:rsid w:val="00955CCA"/>
    <w:rsid w:val="00964CE1"/>
    <w:rsid w:val="00972C27"/>
    <w:rsid w:val="00981BDB"/>
    <w:rsid w:val="00984CA0"/>
    <w:rsid w:val="009911DA"/>
    <w:rsid w:val="0099791E"/>
    <w:rsid w:val="009A1BD5"/>
    <w:rsid w:val="009A1BFF"/>
    <w:rsid w:val="009A4BEE"/>
    <w:rsid w:val="009B329C"/>
    <w:rsid w:val="009C5F34"/>
    <w:rsid w:val="009E5E50"/>
    <w:rsid w:val="009E7D3A"/>
    <w:rsid w:val="009F15EC"/>
    <w:rsid w:val="009F2587"/>
    <w:rsid w:val="00A02D0A"/>
    <w:rsid w:val="00A040DB"/>
    <w:rsid w:val="00A05C18"/>
    <w:rsid w:val="00A10747"/>
    <w:rsid w:val="00A12C80"/>
    <w:rsid w:val="00A15957"/>
    <w:rsid w:val="00A26F7A"/>
    <w:rsid w:val="00A32BD0"/>
    <w:rsid w:val="00A4659E"/>
    <w:rsid w:val="00A46604"/>
    <w:rsid w:val="00A52ECE"/>
    <w:rsid w:val="00A577E7"/>
    <w:rsid w:val="00A638F4"/>
    <w:rsid w:val="00A77ACD"/>
    <w:rsid w:val="00A81B1B"/>
    <w:rsid w:val="00A8564D"/>
    <w:rsid w:val="00A90F7A"/>
    <w:rsid w:val="00A97295"/>
    <w:rsid w:val="00A975CA"/>
    <w:rsid w:val="00AA0B40"/>
    <w:rsid w:val="00AA60D3"/>
    <w:rsid w:val="00AB0029"/>
    <w:rsid w:val="00AB4C3A"/>
    <w:rsid w:val="00AC2177"/>
    <w:rsid w:val="00AC25D7"/>
    <w:rsid w:val="00AC44EA"/>
    <w:rsid w:val="00AD4CED"/>
    <w:rsid w:val="00AD5CE5"/>
    <w:rsid w:val="00AE00F9"/>
    <w:rsid w:val="00AE0598"/>
    <w:rsid w:val="00AF1FEF"/>
    <w:rsid w:val="00AF3128"/>
    <w:rsid w:val="00AF595D"/>
    <w:rsid w:val="00AF7BE8"/>
    <w:rsid w:val="00B0291F"/>
    <w:rsid w:val="00B067E5"/>
    <w:rsid w:val="00B11B20"/>
    <w:rsid w:val="00B13596"/>
    <w:rsid w:val="00B15F01"/>
    <w:rsid w:val="00B26D1C"/>
    <w:rsid w:val="00B31FEC"/>
    <w:rsid w:val="00B33759"/>
    <w:rsid w:val="00B4032A"/>
    <w:rsid w:val="00B4375E"/>
    <w:rsid w:val="00B6015E"/>
    <w:rsid w:val="00B644DB"/>
    <w:rsid w:val="00B661D1"/>
    <w:rsid w:val="00B85558"/>
    <w:rsid w:val="00B93764"/>
    <w:rsid w:val="00BA46F3"/>
    <w:rsid w:val="00BB1D51"/>
    <w:rsid w:val="00BB2F34"/>
    <w:rsid w:val="00BC18D1"/>
    <w:rsid w:val="00BC44EC"/>
    <w:rsid w:val="00BD18D0"/>
    <w:rsid w:val="00BD2838"/>
    <w:rsid w:val="00BD4623"/>
    <w:rsid w:val="00BE10F6"/>
    <w:rsid w:val="00BE3B8A"/>
    <w:rsid w:val="00BE7D3D"/>
    <w:rsid w:val="00C01CB7"/>
    <w:rsid w:val="00C07DE0"/>
    <w:rsid w:val="00C13921"/>
    <w:rsid w:val="00C20C7C"/>
    <w:rsid w:val="00C2308C"/>
    <w:rsid w:val="00C262CD"/>
    <w:rsid w:val="00C305F4"/>
    <w:rsid w:val="00C3658C"/>
    <w:rsid w:val="00C57C3B"/>
    <w:rsid w:val="00C60A66"/>
    <w:rsid w:val="00C61B0D"/>
    <w:rsid w:val="00C623FF"/>
    <w:rsid w:val="00C627F1"/>
    <w:rsid w:val="00C6529E"/>
    <w:rsid w:val="00C66240"/>
    <w:rsid w:val="00C66C25"/>
    <w:rsid w:val="00C72E3B"/>
    <w:rsid w:val="00C80B78"/>
    <w:rsid w:val="00C84ED2"/>
    <w:rsid w:val="00C90ABE"/>
    <w:rsid w:val="00C917CF"/>
    <w:rsid w:val="00CA5D7D"/>
    <w:rsid w:val="00CA7FBE"/>
    <w:rsid w:val="00CB20BC"/>
    <w:rsid w:val="00CB60F6"/>
    <w:rsid w:val="00CB7B45"/>
    <w:rsid w:val="00CC7618"/>
    <w:rsid w:val="00CD2724"/>
    <w:rsid w:val="00CD54E7"/>
    <w:rsid w:val="00CD732D"/>
    <w:rsid w:val="00CE06CC"/>
    <w:rsid w:val="00CE6EC4"/>
    <w:rsid w:val="00CF41A1"/>
    <w:rsid w:val="00CF77B9"/>
    <w:rsid w:val="00D01C91"/>
    <w:rsid w:val="00D02817"/>
    <w:rsid w:val="00D0341D"/>
    <w:rsid w:val="00D127F1"/>
    <w:rsid w:val="00D30D0F"/>
    <w:rsid w:val="00D310FE"/>
    <w:rsid w:val="00D34785"/>
    <w:rsid w:val="00D34C3D"/>
    <w:rsid w:val="00D41242"/>
    <w:rsid w:val="00D51DFD"/>
    <w:rsid w:val="00D5245C"/>
    <w:rsid w:val="00D55AFF"/>
    <w:rsid w:val="00D56723"/>
    <w:rsid w:val="00D5672A"/>
    <w:rsid w:val="00D63678"/>
    <w:rsid w:val="00D84809"/>
    <w:rsid w:val="00D92F73"/>
    <w:rsid w:val="00DB3CE4"/>
    <w:rsid w:val="00DB40B1"/>
    <w:rsid w:val="00DC1AAA"/>
    <w:rsid w:val="00DC24FB"/>
    <w:rsid w:val="00DC69C7"/>
    <w:rsid w:val="00DD015E"/>
    <w:rsid w:val="00DE2614"/>
    <w:rsid w:val="00DE4243"/>
    <w:rsid w:val="00DE5801"/>
    <w:rsid w:val="00E0357E"/>
    <w:rsid w:val="00E14469"/>
    <w:rsid w:val="00E14B3B"/>
    <w:rsid w:val="00E20C8E"/>
    <w:rsid w:val="00E2768E"/>
    <w:rsid w:val="00E3316D"/>
    <w:rsid w:val="00E372B6"/>
    <w:rsid w:val="00E400DF"/>
    <w:rsid w:val="00E42BB6"/>
    <w:rsid w:val="00E439CC"/>
    <w:rsid w:val="00E467C2"/>
    <w:rsid w:val="00E70CBA"/>
    <w:rsid w:val="00E71293"/>
    <w:rsid w:val="00E72387"/>
    <w:rsid w:val="00E747E1"/>
    <w:rsid w:val="00E81587"/>
    <w:rsid w:val="00E861B9"/>
    <w:rsid w:val="00E962F1"/>
    <w:rsid w:val="00E9752F"/>
    <w:rsid w:val="00E977C5"/>
    <w:rsid w:val="00EA1C8E"/>
    <w:rsid w:val="00EA5F99"/>
    <w:rsid w:val="00EA7D30"/>
    <w:rsid w:val="00EC560D"/>
    <w:rsid w:val="00ED144E"/>
    <w:rsid w:val="00ED7647"/>
    <w:rsid w:val="00EE629F"/>
    <w:rsid w:val="00EF3777"/>
    <w:rsid w:val="00EF3C04"/>
    <w:rsid w:val="00EF7FE9"/>
    <w:rsid w:val="00F07E8F"/>
    <w:rsid w:val="00F107E8"/>
    <w:rsid w:val="00F12F66"/>
    <w:rsid w:val="00F17300"/>
    <w:rsid w:val="00F17A6B"/>
    <w:rsid w:val="00F432FF"/>
    <w:rsid w:val="00F53E05"/>
    <w:rsid w:val="00F54765"/>
    <w:rsid w:val="00F556B3"/>
    <w:rsid w:val="00F575FF"/>
    <w:rsid w:val="00F61CCB"/>
    <w:rsid w:val="00F6226E"/>
    <w:rsid w:val="00F71D85"/>
    <w:rsid w:val="00F749E3"/>
    <w:rsid w:val="00F90AA0"/>
    <w:rsid w:val="00F95B2B"/>
    <w:rsid w:val="00FC1D59"/>
    <w:rsid w:val="00FE7C8B"/>
    <w:rsid w:val="00FF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5BC6B-D89F-4C95-8F69-1FCD46F6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2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B7B4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F59"/>
    <w:pPr>
      <w:tabs>
        <w:tab w:val="center" w:pos="4680"/>
        <w:tab w:val="right" w:pos="9360"/>
      </w:tabs>
    </w:pPr>
  </w:style>
  <w:style w:type="character" w:customStyle="1" w:styleId="HeaderChar">
    <w:name w:val="Header Char"/>
    <w:basedOn w:val="DefaultParagraphFont"/>
    <w:link w:val="Header"/>
    <w:uiPriority w:val="99"/>
    <w:rsid w:val="00606F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6F59"/>
    <w:pPr>
      <w:tabs>
        <w:tab w:val="center" w:pos="4680"/>
        <w:tab w:val="right" w:pos="9360"/>
      </w:tabs>
    </w:pPr>
  </w:style>
  <w:style w:type="character" w:customStyle="1" w:styleId="FooterChar">
    <w:name w:val="Footer Char"/>
    <w:basedOn w:val="DefaultParagraphFont"/>
    <w:link w:val="Footer"/>
    <w:uiPriority w:val="99"/>
    <w:rsid w:val="00606F59"/>
    <w:rPr>
      <w:rFonts w:ascii="Times New Roman" w:eastAsia="Times New Roman" w:hAnsi="Times New Roman" w:cs="Times New Roman"/>
      <w:sz w:val="20"/>
      <w:szCs w:val="20"/>
    </w:rPr>
  </w:style>
  <w:style w:type="paragraph" w:styleId="ListParagraph">
    <w:name w:val="List Paragraph"/>
    <w:basedOn w:val="Normal"/>
    <w:uiPriority w:val="34"/>
    <w:qFormat/>
    <w:rsid w:val="00D34C3D"/>
    <w:pPr>
      <w:ind w:left="720"/>
      <w:contextualSpacing/>
    </w:pPr>
  </w:style>
  <w:style w:type="paragraph" w:styleId="BalloonText">
    <w:name w:val="Balloon Text"/>
    <w:basedOn w:val="Normal"/>
    <w:link w:val="BalloonTextChar"/>
    <w:uiPriority w:val="99"/>
    <w:semiHidden/>
    <w:unhideWhenUsed/>
    <w:rsid w:val="00F90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AA0"/>
    <w:rPr>
      <w:rFonts w:ascii="Segoe UI" w:eastAsia="Times New Roman" w:hAnsi="Segoe UI" w:cs="Segoe UI"/>
      <w:sz w:val="18"/>
      <w:szCs w:val="18"/>
    </w:rPr>
  </w:style>
  <w:style w:type="paragraph" w:styleId="FootnoteText">
    <w:name w:val="footnote text"/>
    <w:basedOn w:val="Normal"/>
    <w:link w:val="FootnoteTextChar"/>
    <w:rsid w:val="00250075"/>
    <w:pPr>
      <w:spacing w:after="200"/>
      <w:ind w:firstLine="720"/>
    </w:pPr>
    <w:rPr>
      <w:rFonts w:eastAsiaTheme="minorHAnsi" w:cstheme="minorBidi"/>
      <w:lang w:bidi="he-IL"/>
    </w:rPr>
  </w:style>
  <w:style w:type="character" w:customStyle="1" w:styleId="FootnoteTextChar">
    <w:name w:val="Footnote Text Char"/>
    <w:basedOn w:val="DefaultParagraphFont"/>
    <w:link w:val="FootnoteText"/>
    <w:rsid w:val="00250075"/>
    <w:rPr>
      <w:rFonts w:ascii="Times New Roman" w:hAnsi="Times New Roman"/>
      <w:sz w:val="20"/>
      <w:szCs w:val="20"/>
      <w:lang w:bidi="he-IL"/>
    </w:rPr>
  </w:style>
  <w:style w:type="character" w:styleId="FootnoteReference">
    <w:name w:val="footnote reference"/>
    <w:basedOn w:val="DefaultParagraphFont"/>
    <w:rsid w:val="00250075"/>
    <w:rPr>
      <w:vertAlign w:val="superscript"/>
    </w:rPr>
  </w:style>
  <w:style w:type="character" w:customStyle="1" w:styleId="Heading1Char">
    <w:name w:val="Heading 1 Char"/>
    <w:basedOn w:val="DefaultParagraphFont"/>
    <w:link w:val="Heading1"/>
    <w:uiPriority w:val="9"/>
    <w:rsid w:val="00CB7B45"/>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D51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04B7-5057-4767-BC1A-CF895C89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5331</Words>
  <Characters>30387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Buggy</dc:creator>
  <cp:lastModifiedBy>Michele Biordi</cp:lastModifiedBy>
  <cp:revision>2</cp:revision>
  <dcterms:created xsi:type="dcterms:W3CDTF">2019-11-08T21:06:00Z</dcterms:created>
  <dcterms:modified xsi:type="dcterms:W3CDTF">2019-11-08T21:06:00Z</dcterms:modified>
</cp:coreProperties>
</file>